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3B2939" w14:textId="77777777" w:rsidR="00DD0C17" w:rsidRPr="00AC6142" w:rsidRDefault="00DD0C17" w:rsidP="008F6D9F">
      <w:pPr>
        <w:kinsoku w:val="0"/>
        <w:spacing w:before="0" w:after="120"/>
        <w:jc w:val="center"/>
        <w:rPr>
          <w:rFonts w:ascii="Arial" w:hAnsi="Arial" w:cs="Arial"/>
          <w:b/>
          <w:bCs/>
          <w:kern w:val="0"/>
          <w:sz w:val="28"/>
          <w:szCs w:val="28"/>
          <w:lang w:val="cs-CZ"/>
        </w:rPr>
      </w:pPr>
    </w:p>
    <w:p w14:paraId="11A960DA" w14:textId="063DA27D" w:rsidR="00F13AB6" w:rsidRPr="00AC6142" w:rsidRDefault="00000A53" w:rsidP="008F6D9F">
      <w:pPr>
        <w:kinsoku w:val="0"/>
        <w:spacing w:before="0" w:after="120"/>
        <w:jc w:val="center"/>
        <w:rPr>
          <w:rFonts w:ascii="Arial" w:hAnsi="Arial" w:cs="Arial"/>
          <w:b/>
          <w:bCs/>
          <w:kern w:val="0"/>
          <w:sz w:val="28"/>
          <w:szCs w:val="28"/>
          <w:lang w:val="cs-CZ"/>
        </w:rPr>
      </w:pPr>
      <w:bookmarkStart w:id="0" w:name="_Hlk194581525"/>
      <w:bookmarkStart w:id="1" w:name="_Hlk206935193"/>
      <w:r w:rsidRPr="00000A53">
        <w:rPr>
          <w:rFonts w:ascii="Arial" w:hAnsi="Arial" w:cs="Arial"/>
          <w:b/>
          <w:bCs/>
          <w:kern w:val="0"/>
          <w:sz w:val="28"/>
          <w:szCs w:val="28"/>
          <w:lang w:val="cs-CZ"/>
        </w:rPr>
        <w:t xml:space="preserve">XPG uvádí na trh SSD disk </w:t>
      </w:r>
      <w:proofErr w:type="spellStart"/>
      <w:r w:rsidRPr="00000A53">
        <w:rPr>
          <w:rFonts w:ascii="Arial" w:hAnsi="Arial" w:cs="Arial"/>
          <w:b/>
          <w:bCs/>
          <w:kern w:val="0"/>
          <w:sz w:val="28"/>
          <w:szCs w:val="28"/>
          <w:lang w:val="cs-CZ"/>
        </w:rPr>
        <w:t>Spectrix</w:t>
      </w:r>
      <w:proofErr w:type="spellEnd"/>
      <w:r w:rsidRPr="00000A53">
        <w:rPr>
          <w:rFonts w:ascii="Arial" w:hAnsi="Arial" w:cs="Arial"/>
          <w:b/>
          <w:bCs/>
          <w:kern w:val="0"/>
          <w:sz w:val="28"/>
          <w:szCs w:val="28"/>
          <w:lang w:val="cs-CZ"/>
        </w:rPr>
        <w:t xml:space="preserve"> S65G</w:t>
      </w:r>
    </w:p>
    <w:p w14:paraId="671D6B95" w14:textId="13927693" w:rsidR="00000A53" w:rsidRPr="00000A53" w:rsidRDefault="00000A53" w:rsidP="00000A53">
      <w:pPr>
        <w:kinsoku w:val="0"/>
        <w:spacing w:before="0" w:after="120"/>
        <w:jc w:val="both"/>
        <w:rPr>
          <w:rFonts w:ascii="Arial" w:hAnsi="Arial" w:cs="Arial"/>
          <w:i/>
          <w:iCs/>
          <w:sz w:val="20"/>
          <w:szCs w:val="20"/>
          <w:lang w:val="cs-CZ"/>
        </w:rPr>
      </w:pPr>
      <w:proofErr w:type="spellStart"/>
      <w:r w:rsidRPr="00000A53">
        <w:rPr>
          <w:rFonts w:ascii="Arial" w:hAnsi="Arial" w:cs="Arial"/>
          <w:b/>
          <w:bCs/>
          <w:i/>
          <w:iCs/>
          <w:sz w:val="20"/>
          <w:szCs w:val="20"/>
          <w:lang w:val="cs-CZ"/>
        </w:rPr>
        <w:t>Taipei</w:t>
      </w:r>
      <w:proofErr w:type="spellEnd"/>
      <w:r w:rsidRPr="00000A53">
        <w:rPr>
          <w:rFonts w:ascii="Arial" w:hAnsi="Arial" w:cs="Arial"/>
          <w:b/>
          <w:bCs/>
          <w:i/>
          <w:iCs/>
          <w:sz w:val="20"/>
          <w:szCs w:val="20"/>
          <w:lang w:val="cs-CZ"/>
        </w:rPr>
        <w:t xml:space="preserve">, Taiwan, </w:t>
      </w:r>
      <w:r w:rsidR="00E9453F">
        <w:rPr>
          <w:rFonts w:ascii="Arial" w:hAnsi="Arial" w:cs="Arial"/>
          <w:b/>
          <w:bCs/>
          <w:i/>
          <w:iCs/>
          <w:sz w:val="20"/>
          <w:szCs w:val="20"/>
          <w:lang w:val="cs-CZ"/>
        </w:rPr>
        <w:t>25</w:t>
      </w:r>
      <w:r w:rsidRPr="00000A53">
        <w:rPr>
          <w:rFonts w:ascii="Arial" w:hAnsi="Arial" w:cs="Arial"/>
          <w:b/>
          <w:bCs/>
          <w:i/>
          <w:iCs/>
          <w:sz w:val="20"/>
          <w:szCs w:val="20"/>
          <w:lang w:val="cs-CZ"/>
        </w:rPr>
        <w:t>. 8. 2025</w:t>
      </w:r>
      <w:r w:rsidRPr="00000A53">
        <w:rPr>
          <w:rFonts w:ascii="Arial" w:hAnsi="Arial" w:cs="Arial"/>
          <w:i/>
          <w:iCs/>
          <w:sz w:val="20"/>
          <w:szCs w:val="20"/>
          <w:lang w:val="cs-CZ"/>
        </w:rPr>
        <w:t xml:space="preserve"> – Společnost XPG, značka společnosti ADATA a přední světový výrobce pamětí, počítačových komponent a periferií pro hráče a technologické nadšence, uvádí na trh </w:t>
      </w:r>
      <w:proofErr w:type="spellStart"/>
      <w:r w:rsidRPr="00000A53">
        <w:rPr>
          <w:rFonts w:ascii="Arial" w:hAnsi="Arial" w:cs="Arial"/>
          <w:i/>
          <w:iCs/>
          <w:sz w:val="20"/>
          <w:szCs w:val="20"/>
          <w:lang w:val="cs-CZ"/>
        </w:rPr>
        <w:t>Spectrix</w:t>
      </w:r>
      <w:proofErr w:type="spellEnd"/>
      <w:r w:rsidRPr="00000A53">
        <w:rPr>
          <w:rFonts w:ascii="Arial" w:hAnsi="Arial" w:cs="Arial"/>
          <w:i/>
          <w:iCs/>
          <w:sz w:val="20"/>
          <w:szCs w:val="20"/>
          <w:lang w:val="cs-CZ"/>
        </w:rPr>
        <w:t xml:space="preserve"> S65G. Nový SSD disk je navržen pro hráče, technologické nadšence i </w:t>
      </w:r>
      <w:proofErr w:type="spellStart"/>
      <w:r w:rsidRPr="00000A53">
        <w:rPr>
          <w:rFonts w:ascii="Arial" w:hAnsi="Arial" w:cs="Arial"/>
          <w:i/>
          <w:iCs/>
          <w:sz w:val="20"/>
          <w:szCs w:val="20"/>
          <w:lang w:val="cs-CZ"/>
        </w:rPr>
        <w:t>overclockery</w:t>
      </w:r>
      <w:proofErr w:type="spellEnd"/>
      <w:r w:rsidRPr="00000A53">
        <w:rPr>
          <w:rFonts w:ascii="Arial" w:hAnsi="Arial" w:cs="Arial"/>
          <w:i/>
          <w:iCs/>
          <w:sz w:val="20"/>
          <w:szCs w:val="20"/>
          <w:lang w:val="cs-CZ"/>
        </w:rPr>
        <w:t xml:space="preserve"> a přináší novou úroveň výkonu a designového zpracování.</w:t>
      </w:r>
    </w:p>
    <w:p w14:paraId="6EB52DB6" w14:textId="689874EB" w:rsidR="00000A53" w:rsidRPr="00000A53" w:rsidRDefault="00000A53" w:rsidP="00000A53">
      <w:pPr>
        <w:kinsoku w:val="0"/>
        <w:spacing w:before="0" w:after="120"/>
        <w:jc w:val="both"/>
        <w:rPr>
          <w:rFonts w:ascii="Arial" w:hAnsi="Arial" w:cs="Arial"/>
          <w:sz w:val="20"/>
          <w:szCs w:val="20"/>
          <w:lang w:val="cs-CZ"/>
        </w:rPr>
      </w:pPr>
      <w:r w:rsidRPr="00000A53">
        <w:rPr>
          <w:rFonts w:ascii="Arial" w:hAnsi="Arial" w:cs="Arial"/>
          <w:sz w:val="20"/>
          <w:szCs w:val="20"/>
          <w:lang w:val="cs-CZ"/>
        </w:rPr>
        <w:t xml:space="preserve">Z dat průzkumů vyplývá, že poptávka po počítačovém příslušenství s RGB podsvícením zaznamenala v posledních letech stabilní růst, přičemž mezi lety 2019 a 2024 dosáhla složeného ročního tempa růstu (CAGR) přibližně 10 %. V následujících </w:t>
      </w:r>
      <w:r w:rsidR="00E322F2">
        <w:rPr>
          <w:rFonts w:ascii="Arial" w:hAnsi="Arial" w:cs="Arial"/>
          <w:sz w:val="20"/>
          <w:szCs w:val="20"/>
          <w:lang w:val="cs-CZ"/>
        </w:rPr>
        <w:t xml:space="preserve">pěti </w:t>
      </w:r>
      <w:r w:rsidRPr="00000A53">
        <w:rPr>
          <w:rFonts w:ascii="Arial" w:hAnsi="Arial" w:cs="Arial"/>
          <w:sz w:val="20"/>
          <w:szCs w:val="20"/>
          <w:lang w:val="cs-CZ"/>
        </w:rPr>
        <w:t>letech se předpokládá stejná úroveň růstu 8-10 %, což odpovídá pokračující dynamice na trhu herních sestav.</w:t>
      </w:r>
    </w:p>
    <w:p w14:paraId="37A77F40" w14:textId="3BCA37E8" w:rsidR="00000A53" w:rsidRPr="00000A53" w:rsidRDefault="00000A53" w:rsidP="00000A53">
      <w:pPr>
        <w:kinsoku w:val="0"/>
        <w:spacing w:before="0" w:after="120"/>
        <w:jc w:val="both"/>
        <w:rPr>
          <w:rFonts w:ascii="Arial" w:hAnsi="Arial" w:cs="Arial"/>
          <w:sz w:val="20"/>
          <w:szCs w:val="20"/>
          <w:lang w:val="cs-CZ"/>
        </w:rPr>
      </w:pPr>
      <w:r w:rsidRPr="00000A53">
        <w:rPr>
          <w:rFonts w:ascii="Arial" w:hAnsi="Arial" w:cs="Arial"/>
          <w:sz w:val="20"/>
          <w:szCs w:val="20"/>
          <w:lang w:val="cs-CZ"/>
        </w:rPr>
        <w:t xml:space="preserve">V reakci na to přichází XPG s SSD diskem </w:t>
      </w:r>
      <w:proofErr w:type="spellStart"/>
      <w:r w:rsidRPr="00000A53">
        <w:rPr>
          <w:rFonts w:ascii="Arial" w:hAnsi="Arial" w:cs="Arial"/>
          <w:sz w:val="20"/>
          <w:szCs w:val="20"/>
          <w:lang w:val="cs-CZ"/>
        </w:rPr>
        <w:t>Spectrix</w:t>
      </w:r>
      <w:proofErr w:type="spellEnd"/>
      <w:r w:rsidRPr="00000A53">
        <w:rPr>
          <w:rFonts w:ascii="Arial" w:hAnsi="Arial" w:cs="Arial"/>
          <w:sz w:val="20"/>
          <w:szCs w:val="20"/>
          <w:lang w:val="cs-CZ"/>
        </w:rPr>
        <w:t xml:space="preserve"> S65G, který kombinuje působivé RGB podsvícení s rychlostí čtení 6000 MB/s</w:t>
      </w:r>
      <w:r w:rsidR="00E322F2">
        <w:rPr>
          <w:rFonts w:ascii="Arial" w:hAnsi="Arial" w:cs="Arial"/>
          <w:sz w:val="20"/>
          <w:szCs w:val="20"/>
          <w:lang w:val="cs-CZ"/>
        </w:rPr>
        <w:t>,</w:t>
      </w:r>
      <w:r w:rsidRPr="00000A53">
        <w:rPr>
          <w:rFonts w:ascii="Arial" w:hAnsi="Arial" w:cs="Arial"/>
          <w:sz w:val="20"/>
          <w:szCs w:val="20"/>
          <w:lang w:val="cs-CZ"/>
        </w:rPr>
        <w:t xml:space="preserve"> resp. rychlostí zápisu 5000 MB/s. Charakteristické podsvícené písmeno X je dominantním prvkem chladiče.</w:t>
      </w:r>
    </w:p>
    <w:p w14:paraId="2FC995E3" w14:textId="16CB91DD" w:rsidR="00000A53" w:rsidRPr="00000A53" w:rsidRDefault="00E322F2" w:rsidP="00000A53">
      <w:pPr>
        <w:kinsoku w:val="0"/>
        <w:spacing w:before="0" w:after="120"/>
        <w:jc w:val="both"/>
        <w:rPr>
          <w:rFonts w:ascii="Arial" w:hAnsi="Arial" w:cs="Arial"/>
          <w:b/>
          <w:bCs/>
          <w:sz w:val="20"/>
          <w:szCs w:val="20"/>
          <w:lang w:val="cs-CZ"/>
        </w:rPr>
      </w:pPr>
      <w:r>
        <w:rPr>
          <w:rFonts w:ascii="Arial" w:hAnsi="Arial" w:cs="Arial"/>
          <w:b/>
          <w:bCs/>
          <w:sz w:val="20"/>
          <w:szCs w:val="20"/>
          <w:lang w:val="cs-CZ"/>
        </w:rPr>
        <w:t>Vysoká rychlost a široce využitelné RGB</w:t>
      </w:r>
    </w:p>
    <w:p w14:paraId="638804EC" w14:textId="0DF336E3" w:rsidR="00000A53" w:rsidRPr="00000A53" w:rsidRDefault="00000A53" w:rsidP="00000A53">
      <w:pPr>
        <w:kinsoku w:val="0"/>
        <w:spacing w:before="0" w:after="120"/>
        <w:jc w:val="both"/>
        <w:rPr>
          <w:rFonts w:ascii="Arial" w:hAnsi="Arial" w:cs="Arial"/>
          <w:sz w:val="20"/>
          <w:szCs w:val="20"/>
          <w:lang w:val="cs-CZ"/>
        </w:rPr>
      </w:pPr>
      <w:r w:rsidRPr="00000A53">
        <w:rPr>
          <w:rFonts w:ascii="Arial" w:hAnsi="Arial" w:cs="Arial"/>
          <w:sz w:val="20"/>
          <w:szCs w:val="20"/>
          <w:lang w:val="cs-CZ"/>
        </w:rPr>
        <w:t>SSD disk</w:t>
      </w:r>
      <w:r w:rsidR="00E322F2">
        <w:rPr>
          <w:rFonts w:ascii="Arial" w:hAnsi="Arial" w:cs="Arial"/>
          <w:sz w:val="20"/>
          <w:szCs w:val="20"/>
          <w:lang w:val="cs-CZ"/>
        </w:rPr>
        <w:t>,</w:t>
      </w:r>
      <w:r w:rsidRPr="00000A53">
        <w:rPr>
          <w:rFonts w:ascii="Arial" w:hAnsi="Arial" w:cs="Arial"/>
          <w:sz w:val="20"/>
          <w:szCs w:val="20"/>
          <w:lang w:val="cs-CZ"/>
        </w:rPr>
        <w:t xml:space="preserve"> resp. chladič</w:t>
      </w:r>
      <w:r w:rsidR="00091A77">
        <w:rPr>
          <w:rFonts w:ascii="Arial" w:hAnsi="Arial" w:cs="Arial"/>
          <w:sz w:val="20"/>
          <w:szCs w:val="20"/>
          <w:lang w:val="cs-CZ"/>
        </w:rPr>
        <w:t>,</w:t>
      </w:r>
      <w:r w:rsidRPr="00000A53">
        <w:rPr>
          <w:rFonts w:ascii="Arial" w:hAnsi="Arial" w:cs="Arial"/>
          <w:sz w:val="20"/>
          <w:szCs w:val="20"/>
          <w:lang w:val="cs-CZ"/>
        </w:rPr>
        <w:t xml:space="preserve"> využívá odhalené písmeno X pro RGB podsvícení, které protíná celé tělo. Plynulé efekty podsvícení pak imitují nabíjení energie připravené k následnému okamžitému uvolnění. Je kompatibilní s většinou aplikací pro různé značky základních desek, a proto je RGB podsvícení a jeho efekty snadno </w:t>
      </w:r>
      <w:proofErr w:type="spellStart"/>
      <w:r w:rsidRPr="00000A53">
        <w:rPr>
          <w:rFonts w:ascii="Arial" w:hAnsi="Arial" w:cs="Arial"/>
          <w:sz w:val="20"/>
          <w:szCs w:val="20"/>
          <w:lang w:val="cs-CZ"/>
        </w:rPr>
        <w:t>personalizovatelné</w:t>
      </w:r>
      <w:proofErr w:type="spellEnd"/>
      <w:r w:rsidRPr="00000A53">
        <w:rPr>
          <w:rFonts w:ascii="Arial" w:hAnsi="Arial" w:cs="Arial"/>
          <w:sz w:val="20"/>
          <w:szCs w:val="20"/>
          <w:lang w:val="cs-CZ"/>
        </w:rPr>
        <w:t>.</w:t>
      </w:r>
    </w:p>
    <w:p w14:paraId="7431BB4E" w14:textId="55DCCCBF" w:rsidR="00000A53" w:rsidRPr="00000A53" w:rsidRDefault="00E322F2" w:rsidP="00000A53">
      <w:pPr>
        <w:kinsoku w:val="0"/>
        <w:spacing w:before="0" w:after="120"/>
        <w:jc w:val="both"/>
        <w:rPr>
          <w:rFonts w:ascii="Arial" w:hAnsi="Arial" w:cs="Arial"/>
          <w:sz w:val="20"/>
          <w:szCs w:val="20"/>
          <w:lang w:val="cs-CZ"/>
        </w:rPr>
      </w:pPr>
      <w:r>
        <w:rPr>
          <w:rFonts w:ascii="Arial" w:hAnsi="Arial" w:cs="Arial"/>
          <w:sz w:val="20"/>
          <w:szCs w:val="20"/>
          <w:lang w:val="cs-CZ"/>
        </w:rPr>
        <w:t>Novinka v</w:t>
      </w:r>
      <w:r w:rsidR="00000A53" w:rsidRPr="00000A53">
        <w:rPr>
          <w:rFonts w:ascii="Arial" w:hAnsi="Arial" w:cs="Arial"/>
          <w:sz w:val="20"/>
          <w:szCs w:val="20"/>
          <w:lang w:val="cs-CZ"/>
        </w:rPr>
        <w:t xml:space="preserve">yužívá rozhraní </w:t>
      </w:r>
      <w:proofErr w:type="spellStart"/>
      <w:r w:rsidR="00000A53" w:rsidRPr="00000A53">
        <w:rPr>
          <w:rFonts w:ascii="Arial" w:hAnsi="Arial" w:cs="Arial"/>
          <w:sz w:val="20"/>
          <w:szCs w:val="20"/>
          <w:lang w:val="cs-CZ"/>
        </w:rPr>
        <w:t>PCIe</w:t>
      </w:r>
      <w:proofErr w:type="spellEnd"/>
      <w:r w:rsidR="00000A53" w:rsidRPr="00000A53">
        <w:rPr>
          <w:rFonts w:ascii="Arial" w:hAnsi="Arial" w:cs="Arial"/>
          <w:sz w:val="20"/>
          <w:szCs w:val="20"/>
          <w:lang w:val="cs-CZ"/>
        </w:rPr>
        <w:t xml:space="preserve"> Gen4 x4 a standard </w:t>
      </w:r>
      <w:proofErr w:type="spellStart"/>
      <w:r w:rsidR="00000A53" w:rsidRPr="00000A53">
        <w:rPr>
          <w:rFonts w:ascii="Arial" w:hAnsi="Arial" w:cs="Arial"/>
          <w:sz w:val="20"/>
          <w:szCs w:val="20"/>
          <w:lang w:val="cs-CZ"/>
        </w:rPr>
        <w:t>NVMe</w:t>
      </w:r>
      <w:proofErr w:type="spellEnd"/>
      <w:r w:rsidR="00000A53" w:rsidRPr="00000A53">
        <w:rPr>
          <w:rFonts w:ascii="Arial" w:hAnsi="Arial" w:cs="Arial"/>
          <w:sz w:val="20"/>
          <w:szCs w:val="20"/>
          <w:lang w:val="cs-CZ"/>
        </w:rPr>
        <w:t xml:space="preserve"> 1.4</w:t>
      </w:r>
      <w:r>
        <w:rPr>
          <w:rFonts w:ascii="Arial" w:hAnsi="Arial" w:cs="Arial"/>
          <w:sz w:val="20"/>
          <w:szCs w:val="20"/>
          <w:lang w:val="cs-CZ"/>
        </w:rPr>
        <w:t>,</w:t>
      </w:r>
      <w:r w:rsidR="00000A53" w:rsidRPr="00000A53">
        <w:rPr>
          <w:rFonts w:ascii="Arial" w:hAnsi="Arial" w:cs="Arial"/>
          <w:sz w:val="20"/>
          <w:szCs w:val="20"/>
          <w:lang w:val="cs-CZ"/>
        </w:rPr>
        <w:t xml:space="preserve"> a díky tomu nabízí rychlost čtení/zápisu 6000/5000 MB/s, což zajišťuje plynulý výkon při načítání her i přechod mezi scén</w:t>
      </w:r>
      <w:r w:rsidR="00000A53">
        <w:rPr>
          <w:rFonts w:ascii="Arial" w:hAnsi="Arial" w:cs="Arial"/>
          <w:sz w:val="20"/>
          <w:szCs w:val="20"/>
          <w:lang w:val="cs-CZ"/>
        </w:rPr>
        <w:t>a</w:t>
      </w:r>
      <w:r w:rsidR="00000A53" w:rsidRPr="00000A53">
        <w:rPr>
          <w:rFonts w:ascii="Arial" w:hAnsi="Arial" w:cs="Arial"/>
          <w:sz w:val="20"/>
          <w:szCs w:val="20"/>
          <w:lang w:val="cs-CZ"/>
        </w:rPr>
        <w:t xml:space="preserve">mi. SSD disk podporuje také technologie SLC </w:t>
      </w:r>
      <w:proofErr w:type="spellStart"/>
      <w:r w:rsidR="00000A53" w:rsidRPr="00000A53">
        <w:rPr>
          <w:rFonts w:ascii="Arial" w:hAnsi="Arial" w:cs="Arial"/>
          <w:sz w:val="20"/>
          <w:szCs w:val="20"/>
          <w:lang w:val="cs-CZ"/>
        </w:rPr>
        <w:t>caching</w:t>
      </w:r>
      <w:proofErr w:type="spellEnd"/>
      <w:r w:rsidR="00000A53" w:rsidRPr="00000A53">
        <w:rPr>
          <w:rFonts w:ascii="Arial" w:hAnsi="Arial" w:cs="Arial"/>
          <w:sz w:val="20"/>
          <w:szCs w:val="20"/>
          <w:lang w:val="cs-CZ"/>
        </w:rPr>
        <w:t xml:space="preserve"> a Host </w:t>
      </w:r>
      <w:proofErr w:type="spellStart"/>
      <w:r w:rsidR="00000A53" w:rsidRPr="00000A53">
        <w:rPr>
          <w:rFonts w:ascii="Arial" w:hAnsi="Arial" w:cs="Arial"/>
          <w:sz w:val="20"/>
          <w:szCs w:val="20"/>
          <w:lang w:val="cs-CZ"/>
        </w:rPr>
        <w:t>Memory</w:t>
      </w:r>
      <w:proofErr w:type="spellEnd"/>
      <w:r w:rsidR="00000A53" w:rsidRPr="00000A53">
        <w:rPr>
          <w:rFonts w:ascii="Arial" w:hAnsi="Arial" w:cs="Arial"/>
          <w:sz w:val="20"/>
          <w:szCs w:val="20"/>
          <w:lang w:val="cs-CZ"/>
        </w:rPr>
        <w:t xml:space="preserve"> Buffer (HMB)</w:t>
      </w:r>
      <w:r>
        <w:rPr>
          <w:rFonts w:ascii="Arial" w:hAnsi="Arial" w:cs="Arial"/>
          <w:sz w:val="20"/>
          <w:szCs w:val="20"/>
          <w:lang w:val="cs-CZ"/>
        </w:rPr>
        <w:t xml:space="preserve"> a</w:t>
      </w:r>
      <w:r w:rsidR="00000A53" w:rsidRPr="00000A53">
        <w:rPr>
          <w:rFonts w:ascii="Arial" w:hAnsi="Arial" w:cs="Arial"/>
          <w:sz w:val="20"/>
          <w:szCs w:val="20"/>
          <w:lang w:val="cs-CZ"/>
        </w:rPr>
        <w:t xml:space="preserve"> je plně kompatibilní s nejnovějšími platformami Intel a AMD.</w:t>
      </w:r>
    </w:p>
    <w:p w14:paraId="32EB9CEB" w14:textId="173E0D66" w:rsidR="00000A53" w:rsidRPr="00000A53" w:rsidRDefault="00000A53" w:rsidP="00000A53">
      <w:pPr>
        <w:kinsoku w:val="0"/>
        <w:spacing w:before="0" w:after="120"/>
        <w:jc w:val="both"/>
        <w:rPr>
          <w:rFonts w:ascii="Arial" w:hAnsi="Arial" w:cs="Arial"/>
          <w:b/>
          <w:bCs/>
          <w:sz w:val="20"/>
          <w:szCs w:val="20"/>
          <w:lang w:val="cs-CZ"/>
        </w:rPr>
      </w:pPr>
      <w:r w:rsidRPr="00000A53">
        <w:rPr>
          <w:rFonts w:ascii="Arial" w:hAnsi="Arial" w:cs="Arial"/>
          <w:b/>
          <w:bCs/>
          <w:sz w:val="20"/>
          <w:szCs w:val="20"/>
          <w:lang w:val="cs-CZ"/>
        </w:rPr>
        <w:t>Kompatibil</w:t>
      </w:r>
      <w:r w:rsidR="00E322F2">
        <w:rPr>
          <w:rFonts w:ascii="Arial" w:hAnsi="Arial" w:cs="Arial"/>
          <w:b/>
          <w:bCs/>
          <w:sz w:val="20"/>
          <w:szCs w:val="20"/>
          <w:lang w:val="cs-CZ"/>
        </w:rPr>
        <w:t xml:space="preserve">ita </w:t>
      </w:r>
      <w:r w:rsidRPr="00000A53">
        <w:rPr>
          <w:rFonts w:ascii="Arial" w:hAnsi="Arial" w:cs="Arial"/>
          <w:b/>
          <w:bCs/>
          <w:sz w:val="20"/>
          <w:szCs w:val="20"/>
          <w:lang w:val="cs-CZ"/>
        </w:rPr>
        <w:t>s konzolí PlayStation 5 a vylepšená robustní ochrana</w:t>
      </w:r>
    </w:p>
    <w:p w14:paraId="13EFA756" w14:textId="468D4E5F" w:rsidR="00000A53" w:rsidRDefault="00000A53" w:rsidP="00000A53">
      <w:pPr>
        <w:kinsoku w:val="0"/>
        <w:spacing w:before="0" w:after="120"/>
        <w:jc w:val="both"/>
        <w:rPr>
          <w:rFonts w:ascii="Arial" w:hAnsi="Arial" w:cs="Arial"/>
          <w:sz w:val="20"/>
          <w:szCs w:val="20"/>
          <w:lang w:val="cs-CZ"/>
        </w:rPr>
      </w:pPr>
      <w:r w:rsidRPr="00000A53">
        <w:rPr>
          <w:rFonts w:ascii="Arial" w:hAnsi="Arial" w:cs="Arial"/>
          <w:sz w:val="20"/>
          <w:szCs w:val="20"/>
          <w:lang w:val="cs-CZ"/>
        </w:rPr>
        <w:t xml:space="preserve">Mimo stolní počítače lze využít </w:t>
      </w:r>
      <w:proofErr w:type="spellStart"/>
      <w:r w:rsidRPr="00000A53">
        <w:rPr>
          <w:rFonts w:ascii="Arial" w:hAnsi="Arial" w:cs="Arial"/>
          <w:sz w:val="20"/>
          <w:szCs w:val="20"/>
          <w:lang w:val="cs-CZ"/>
        </w:rPr>
        <w:t>Spectrix</w:t>
      </w:r>
      <w:proofErr w:type="spellEnd"/>
      <w:r w:rsidRPr="00000A53">
        <w:rPr>
          <w:rFonts w:ascii="Arial" w:hAnsi="Arial" w:cs="Arial"/>
          <w:sz w:val="20"/>
          <w:szCs w:val="20"/>
          <w:lang w:val="cs-CZ"/>
        </w:rPr>
        <w:t xml:space="preserve"> S65G také pro upgrade úložiště konzole PlayStation 5. Nabízí kapacitu až 2 000 GB</w:t>
      </w:r>
      <w:r w:rsidR="00E322F2">
        <w:rPr>
          <w:rFonts w:ascii="Arial" w:hAnsi="Arial" w:cs="Arial"/>
          <w:sz w:val="20"/>
          <w:szCs w:val="20"/>
          <w:lang w:val="cs-CZ"/>
        </w:rPr>
        <w:t xml:space="preserve"> a</w:t>
      </w:r>
      <w:r w:rsidRPr="00000A53">
        <w:rPr>
          <w:rFonts w:ascii="Arial" w:hAnsi="Arial" w:cs="Arial"/>
          <w:sz w:val="20"/>
          <w:szCs w:val="20"/>
          <w:lang w:val="cs-CZ"/>
        </w:rPr>
        <w:t xml:space="preserve"> integruje LDPC (</w:t>
      </w:r>
      <w:proofErr w:type="spellStart"/>
      <w:r w:rsidRPr="00000A53">
        <w:rPr>
          <w:rFonts w:ascii="Arial" w:hAnsi="Arial" w:cs="Arial"/>
          <w:sz w:val="20"/>
          <w:szCs w:val="20"/>
          <w:lang w:val="cs-CZ"/>
        </w:rPr>
        <w:t>Low</w:t>
      </w:r>
      <w:proofErr w:type="spellEnd"/>
      <w:r w:rsidRPr="00000A53">
        <w:rPr>
          <w:rFonts w:ascii="Arial" w:hAnsi="Arial" w:cs="Arial"/>
          <w:sz w:val="20"/>
          <w:szCs w:val="20"/>
          <w:lang w:val="cs-CZ"/>
        </w:rPr>
        <w:t xml:space="preserve"> </w:t>
      </w:r>
      <w:proofErr w:type="spellStart"/>
      <w:r w:rsidRPr="00000A53">
        <w:rPr>
          <w:rFonts w:ascii="Arial" w:hAnsi="Arial" w:cs="Arial"/>
          <w:sz w:val="20"/>
          <w:szCs w:val="20"/>
          <w:lang w:val="cs-CZ"/>
        </w:rPr>
        <w:t>Density</w:t>
      </w:r>
      <w:proofErr w:type="spellEnd"/>
      <w:r w:rsidRPr="00000A53">
        <w:rPr>
          <w:rFonts w:ascii="Arial" w:hAnsi="Arial" w:cs="Arial"/>
          <w:sz w:val="20"/>
          <w:szCs w:val="20"/>
          <w:lang w:val="cs-CZ"/>
        </w:rPr>
        <w:t xml:space="preserve"> Parity </w:t>
      </w:r>
      <w:proofErr w:type="spellStart"/>
      <w:r w:rsidRPr="00000A53">
        <w:rPr>
          <w:rFonts w:ascii="Arial" w:hAnsi="Arial" w:cs="Arial"/>
          <w:sz w:val="20"/>
          <w:szCs w:val="20"/>
          <w:lang w:val="cs-CZ"/>
        </w:rPr>
        <w:t>Check</w:t>
      </w:r>
      <w:proofErr w:type="spellEnd"/>
      <w:r w:rsidRPr="00000A53">
        <w:rPr>
          <w:rFonts w:ascii="Arial" w:hAnsi="Arial" w:cs="Arial"/>
          <w:sz w:val="20"/>
          <w:szCs w:val="20"/>
          <w:lang w:val="cs-CZ"/>
        </w:rPr>
        <w:t xml:space="preserve"> </w:t>
      </w:r>
      <w:proofErr w:type="spellStart"/>
      <w:r w:rsidRPr="00000A53">
        <w:rPr>
          <w:rFonts w:ascii="Arial" w:hAnsi="Arial" w:cs="Arial"/>
          <w:sz w:val="20"/>
          <w:szCs w:val="20"/>
          <w:lang w:val="cs-CZ"/>
        </w:rPr>
        <w:t>Code</w:t>
      </w:r>
      <w:proofErr w:type="spellEnd"/>
      <w:r w:rsidRPr="00000A53">
        <w:rPr>
          <w:rFonts w:ascii="Arial" w:hAnsi="Arial" w:cs="Arial"/>
          <w:sz w:val="20"/>
          <w:szCs w:val="20"/>
          <w:lang w:val="cs-CZ"/>
        </w:rPr>
        <w:t xml:space="preserve">) </w:t>
      </w:r>
      <w:r w:rsidR="00E322F2">
        <w:rPr>
          <w:rFonts w:ascii="Arial" w:hAnsi="Arial" w:cs="Arial"/>
          <w:sz w:val="20"/>
          <w:szCs w:val="20"/>
          <w:lang w:val="cs-CZ"/>
        </w:rPr>
        <w:t>pro zajištění</w:t>
      </w:r>
      <w:r w:rsidRPr="00000A53">
        <w:rPr>
          <w:rFonts w:ascii="Arial" w:hAnsi="Arial" w:cs="Arial"/>
          <w:sz w:val="20"/>
          <w:szCs w:val="20"/>
          <w:lang w:val="cs-CZ"/>
        </w:rPr>
        <w:t xml:space="preserve"> stabilit</w:t>
      </w:r>
      <w:r w:rsidR="00E322F2">
        <w:rPr>
          <w:rFonts w:ascii="Arial" w:hAnsi="Arial" w:cs="Arial"/>
          <w:sz w:val="20"/>
          <w:szCs w:val="20"/>
          <w:lang w:val="cs-CZ"/>
        </w:rPr>
        <w:t>y</w:t>
      </w:r>
      <w:r w:rsidRPr="00000A53">
        <w:rPr>
          <w:rFonts w:ascii="Arial" w:hAnsi="Arial" w:cs="Arial"/>
          <w:sz w:val="20"/>
          <w:szCs w:val="20"/>
          <w:lang w:val="cs-CZ"/>
        </w:rPr>
        <w:t xml:space="preserve"> a dlouh</w:t>
      </w:r>
      <w:r w:rsidR="00E322F2">
        <w:rPr>
          <w:rFonts w:ascii="Arial" w:hAnsi="Arial" w:cs="Arial"/>
          <w:sz w:val="20"/>
          <w:szCs w:val="20"/>
          <w:lang w:val="cs-CZ"/>
        </w:rPr>
        <w:t>é</w:t>
      </w:r>
      <w:r w:rsidRPr="00000A53">
        <w:rPr>
          <w:rFonts w:ascii="Arial" w:hAnsi="Arial" w:cs="Arial"/>
          <w:sz w:val="20"/>
          <w:szCs w:val="20"/>
          <w:lang w:val="cs-CZ"/>
        </w:rPr>
        <w:t xml:space="preserve"> životnost</w:t>
      </w:r>
      <w:r w:rsidR="00E322F2">
        <w:rPr>
          <w:rFonts w:ascii="Arial" w:hAnsi="Arial" w:cs="Arial"/>
          <w:sz w:val="20"/>
          <w:szCs w:val="20"/>
          <w:lang w:val="cs-CZ"/>
        </w:rPr>
        <w:t>i</w:t>
      </w:r>
      <w:r w:rsidRPr="00000A53">
        <w:rPr>
          <w:rFonts w:ascii="Arial" w:hAnsi="Arial" w:cs="Arial"/>
          <w:sz w:val="20"/>
          <w:szCs w:val="20"/>
          <w:lang w:val="cs-CZ"/>
        </w:rPr>
        <w:t>, zatímco pokročilé šifrování Pyrite zvyšuje ochranu a spolehlivost přenosu dat. Disk byl důsledně testován z hlediska odolnosti a výkonu a je dodáván s 5letou zárukou.</w:t>
      </w:r>
    </w:p>
    <w:p w14:paraId="6DAD3543" w14:textId="77777777" w:rsidR="00E9453F" w:rsidRPr="00E9453F" w:rsidRDefault="00E9453F" w:rsidP="00E9453F">
      <w:pPr>
        <w:kinsoku w:val="0"/>
        <w:spacing w:before="0" w:after="120"/>
        <w:jc w:val="both"/>
        <w:rPr>
          <w:rFonts w:ascii="Arial" w:hAnsi="Arial" w:cs="Arial"/>
          <w:b/>
          <w:bCs/>
          <w:sz w:val="20"/>
          <w:szCs w:val="20"/>
          <w:lang w:val="cs-CZ"/>
        </w:rPr>
      </w:pPr>
      <w:r w:rsidRPr="00E9453F">
        <w:rPr>
          <w:rFonts w:ascii="Arial" w:hAnsi="Arial" w:cs="Arial"/>
          <w:b/>
          <w:bCs/>
          <w:sz w:val="20"/>
          <w:szCs w:val="20"/>
          <w:lang w:val="cs-CZ"/>
        </w:rPr>
        <w:t>Cena a dostupnost</w:t>
      </w:r>
    </w:p>
    <w:p w14:paraId="28E1422E" w14:textId="2D71481E" w:rsidR="00E9453F" w:rsidRPr="00E9453F" w:rsidRDefault="00E9453F" w:rsidP="00E9453F">
      <w:pPr>
        <w:kinsoku w:val="0"/>
        <w:spacing w:before="0" w:after="120"/>
        <w:jc w:val="both"/>
        <w:rPr>
          <w:rFonts w:ascii="Arial" w:hAnsi="Arial" w:cs="Arial"/>
          <w:sz w:val="20"/>
          <w:szCs w:val="20"/>
          <w:lang w:val="cs-CZ"/>
        </w:rPr>
      </w:pPr>
      <w:bookmarkStart w:id="2" w:name="_Hlk176952502"/>
      <w:r w:rsidRPr="00E9453F">
        <w:rPr>
          <w:rFonts w:ascii="Arial" w:hAnsi="Arial" w:cs="Arial"/>
          <w:sz w:val="20"/>
          <w:szCs w:val="20"/>
          <w:lang w:val="cs-CZ"/>
        </w:rPr>
        <w:t>Lokálně bud</w:t>
      </w:r>
      <w:r>
        <w:rPr>
          <w:rFonts w:ascii="Arial" w:hAnsi="Arial" w:cs="Arial"/>
          <w:sz w:val="20"/>
          <w:szCs w:val="20"/>
          <w:lang w:val="cs-CZ"/>
        </w:rPr>
        <w:t>e</w:t>
      </w:r>
      <w:r w:rsidRPr="00E9453F">
        <w:rPr>
          <w:rFonts w:ascii="Arial" w:hAnsi="Arial" w:cs="Arial"/>
          <w:sz w:val="20"/>
          <w:szCs w:val="20"/>
          <w:lang w:val="cs-CZ"/>
        </w:rPr>
        <w:t xml:space="preserve"> </w:t>
      </w:r>
      <w:hyperlink r:id="rId8" w:history="1">
        <w:r w:rsidRPr="00E9453F">
          <w:rPr>
            <w:rStyle w:val="Hypertextovodkaz"/>
            <w:rFonts w:ascii="Arial" w:hAnsi="Arial" w:cs="Arial"/>
            <w:sz w:val="20"/>
            <w:szCs w:val="20"/>
            <w:lang w:val="cs-CZ"/>
          </w:rPr>
          <w:t xml:space="preserve">SSD disk XPG </w:t>
        </w:r>
        <w:proofErr w:type="spellStart"/>
        <w:r w:rsidRPr="00E9453F">
          <w:rPr>
            <w:rStyle w:val="Hypertextovodkaz"/>
            <w:rFonts w:ascii="Arial" w:hAnsi="Arial" w:cs="Arial"/>
            <w:sz w:val="20"/>
            <w:szCs w:val="20"/>
            <w:lang w:val="cs-CZ"/>
          </w:rPr>
          <w:t>Spectrix</w:t>
        </w:r>
        <w:proofErr w:type="spellEnd"/>
        <w:r w:rsidRPr="00E9453F">
          <w:rPr>
            <w:rStyle w:val="Hypertextovodkaz"/>
            <w:rFonts w:ascii="Arial" w:hAnsi="Arial" w:cs="Arial"/>
            <w:sz w:val="20"/>
            <w:szCs w:val="20"/>
            <w:lang w:val="cs-CZ"/>
          </w:rPr>
          <w:t xml:space="preserve"> S65G </w:t>
        </w:r>
        <w:proofErr w:type="spellStart"/>
        <w:r w:rsidRPr="00E9453F">
          <w:rPr>
            <w:rStyle w:val="Hypertextovodkaz"/>
            <w:rFonts w:ascii="Arial" w:hAnsi="Arial" w:cs="Arial"/>
            <w:sz w:val="20"/>
            <w:szCs w:val="20"/>
            <w:lang w:val="cs-CZ"/>
          </w:rPr>
          <w:t>PCIe</w:t>
        </w:r>
        <w:proofErr w:type="spellEnd"/>
        <w:r w:rsidRPr="00E9453F">
          <w:rPr>
            <w:rStyle w:val="Hypertextovodkaz"/>
            <w:rFonts w:ascii="Arial" w:hAnsi="Arial" w:cs="Arial"/>
            <w:sz w:val="20"/>
            <w:szCs w:val="20"/>
            <w:lang w:val="cs-CZ"/>
          </w:rPr>
          <w:t xml:space="preserve"> </w:t>
        </w:r>
        <w:r w:rsidRPr="00E9453F">
          <w:rPr>
            <w:rStyle w:val="Hypertextovodkaz"/>
            <w:rFonts w:ascii="Arial" w:hAnsi="Arial" w:cs="Arial"/>
            <w:sz w:val="20"/>
            <w:szCs w:val="20"/>
            <w:lang w:val="cs-CZ"/>
          </w:rPr>
          <w:t>G</w:t>
        </w:r>
        <w:r w:rsidRPr="00E9453F">
          <w:rPr>
            <w:rStyle w:val="Hypertextovodkaz"/>
            <w:rFonts w:ascii="Arial" w:hAnsi="Arial" w:cs="Arial"/>
            <w:sz w:val="20"/>
            <w:szCs w:val="20"/>
            <w:lang w:val="cs-CZ"/>
          </w:rPr>
          <w:t>en4 x4 M.2</w:t>
        </w:r>
      </w:hyperlink>
      <w:r w:rsidRPr="00E9453F">
        <w:rPr>
          <w:rFonts w:ascii="Arial" w:hAnsi="Arial" w:cs="Arial"/>
          <w:sz w:val="20"/>
          <w:szCs w:val="20"/>
          <w:lang w:val="cs-CZ"/>
        </w:rPr>
        <w:t xml:space="preserve"> k dispozici </w:t>
      </w:r>
      <w:r>
        <w:rPr>
          <w:rFonts w:ascii="Arial" w:hAnsi="Arial" w:cs="Arial"/>
          <w:sz w:val="20"/>
          <w:szCs w:val="20"/>
          <w:lang w:val="cs-CZ"/>
        </w:rPr>
        <w:t>v druhé polovině září</w:t>
      </w:r>
      <w:r w:rsidRPr="00E9453F">
        <w:rPr>
          <w:rFonts w:ascii="Arial" w:hAnsi="Arial" w:cs="Arial"/>
          <w:sz w:val="20"/>
          <w:szCs w:val="20"/>
          <w:lang w:val="cs-CZ"/>
        </w:rPr>
        <w:t xml:space="preserve"> za doporučené koncové ceny:</w:t>
      </w:r>
    </w:p>
    <w:p w14:paraId="64B4A0DF" w14:textId="36047D49" w:rsidR="00E9453F" w:rsidRPr="00354AC7" w:rsidRDefault="00E9453F" w:rsidP="00354AC7">
      <w:pPr>
        <w:pStyle w:val="Odstavecseseznamem"/>
        <w:numPr>
          <w:ilvl w:val="0"/>
          <w:numId w:val="7"/>
        </w:numPr>
        <w:kinsoku w:val="0"/>
        <w:spacing w:after="120"/>
        <w:ind w:leftChars="0"/>
        <w:jc w:val="both"/>
        <w:rPr>
          <w:rFonts w:ascii="Arial" w:hAnsi="Arial" w:cs="Arial"/>
          <w:sz w:val="20"/>
          <w:szCs w:val="20"/>
          <w:lang w:val="cs-CZ"/>
        </w:rPr>
      </w:pPr>
      <w:r w:rsidRPr="00354AC7">
        <w:rPr>
          <w:rFonts w:ascii="Arial" w:hAnsi="Arial" w:cs="Arial"/>
          <w:sz w:val="20"/>
          <w:szCs w:val="20"/>
          <w:lang w:val="cs-CZ"/>
        </w:rPr>
        <w:t>500 GB verze</w:t>
      </w:r>
      <w:r w:rsidRPr="00354AC7">
        <w:rPr>
          <w:rFonts w:ascii="Arial" w:hAnsi="Arial" w:cs="Arial"/>
          <w:sz w:val="20"/>
          <w:szCs w:val="20"/>
          <w:lang w:val="cs-CZ"/>
        </w:rPr>
        <w:t xml:space="preserve"> za 1</w:t>
      </w:r>
      <w:r w:rsidRPr="00354AC7">
        <w:rPr>
          <w:rFonts w:ascii="Arial" w:hAnsi="Arial" w:cs="Arial"/>
          <w:sz w:val="20"/>
          <w:szCs w:val="20"/>
          <w:lang w:val="cs-CZ"/>
        </w:rPr>
        <w:t>049</w:t>
      </w:r>
      <w:r w:rsidRPr="00354AC7">
        <w:rPr>
          <w:rFonts w:ascii="Arial" w:hAnsi="Arial" w:cs="Arial"/>
          <w:sz w:val="20"/>
          <w:szCs w:val="20"/>
          <w:lang w:val="cs-CZ"/>
        </w:rPr>
        <w:t xml:space="preserve"> Kč s DPH v Česku a </w:t>
      </w:r>
      <w:r w:rsidRPr="00354AC7">
        <w:rPr>
          <w:rFonts w:ascii="Arial" w:hAnsi="Arial" w:cs="Arial"/>
          <w:sz w:val="20"/>
          <w:szCs w:val="20"/>
          <w:lang w:val="cs-CZ"/>
        </w:rPr>
        <w:t>42</w:t>
      </w:r>
      <w:r w:rsidRPr="00354AC7">
        <w:rPr>
          <w:rFonts w:ascii="Arial" w:hAnsi="Arial" w:cs="Arial"/>
          <w:sz w:val="20"/>
          <w:szCs w:val="20"/>
          <w:lang w:val="cs-CZ"/>
        </w:rPr>
        <w:t>,</w:t>
      </w:r>
      <w:r w:rsidRPr="00354AC7">
        <w:rPr>
          <w:rFonts w:ascii="Arial" w:hAnsi="Arial" w:cs="Arial"/>
          <w:sz w:val="20"/>
          <w:szCs w:val="20"/>
          <w:lang w:val="cs-CZ"/>
        </w:rPr>
        <w:t>90</w:t>
      </w:r>
      <w:r w:rsidRPr="00354AC7">
        <w:rPr>
          <w:rFonts w:ascii="Arial" w:hAnsi="Arial" w:cs="Arial"/>
          <w:sz w:val="20"/>
          <w:szCs w:val="20"/>
          <w:lang w:val="cs-CZ"/>
        </w:rPr>
        <w:t xml:space="preserve"> euro s DPH na Slovensku</w:t>
      </w:r>
    </w:p>
    <w:p w14:paraId="008C73C4" w14:textId="65472D23" w:rsidR="00E9453F" w:rsidRPr="00354AC7" w:rsidRDefault="00E9453F" w:rsidP="00354AC7">
      <w:pPr>
        <w:pStyle w:val="Odstavecseseznamem"/>
        <w:numPr>
          <w:ilvl w:val="0"/>
          <w:numId w:val="7"/>
        </w:numPr>
        <w:kinsoku w:val="0"/>
        <w:spacing w:after="120"/>
        <w:ind w:leftChars="0"/>
        <w:jc w:val="both"/>
        <w:rPr>
          <w:rFonts w:ascii="Arial" w:hAnsi="Arial" w:cs="Arial"/>
          <w:sz w:val="20"/>
          <w:szCs w:val="20"/>
          <w:lang w:val="cs-CZ"/>
        </w:rPr>
      </w:pPr>
      <w:r w:rsidRPr="00354AC7">
        <w:rPr>
          <w:rFonts w:ascii="Arial" w:hAnsi="Arial" w:cs="Arial"/>
          <w:sz w:val="20"/>
          <w:szCs w:val="20"/>
          <w:lang w:val="cs-CZ"/>
        </w:rPr>
        <w:lastRenderedPageBreak/>
        <w:t>1000 GB verze</w:t>
      </w:r>
      <w:r w:rsidRPr="00354AC7">
        <w:rPr>
          <w:rFonts w:ascii="Arial" w:hAnsi="Arial" w:cs="Arial"/>
          <w:sz w:val="20"/>
          <w:szCs w:val="20"/>
          <w:lang w:val="cs-CZ"/>
        </w:rPr>
        <w:t xml:space="preserve"> za </w:t>
      </w:r>
      <w:r w:rsidRPr="00354AC7">
        <w:rPr>
          <w:rFonts w:ascii="Arial" w:hAnsi="Arial" w:cs="Arial"/>
          <w:sz w:val="20"/>
          <w:szCs w:val="20"/>
          <w:lang w:val="cs-CZ"/>
        </w:rPr>
        <w:t>1799</w:t>
      </w:r>
      <w:r w:rsidRPr="00354AC7">
        <w:rPr>
          <w:rFonts w:ascii="Arial" w:hAnsi="Arial" w:cs="Arial"/>
          <w:sz w:val="20"/>
          <w:szCs w:val="20"/>
          <w:lang w:val="cs-CZ"/>
        </w:rPr>
        <w:t xml:space="preserve"> Kč s DPH v Česku a </w:t>
      </w:r>
      <w:r w:rsidRPr="00354AC7">
        <w:rPr>
          <w:rFonts w:ascii="Arial" w:hAnsi="Arial" w:cs="Arial"/>
          <w:sz w:val="20"/>
          <w:szCs w:val="20"/>
          <w:lang w:val="cs-CZ"/>
        </w:rPr>
        <w:t>72</w:t>
      </w:r>
      <w:r w:rsidRPr="00354AC7">
        <w:rPr>
          <w:rFonts w:ascii="Arial" w:hAnsi="Arial" w:cs="Arial"/>
          <w:sz w:val="20"/>
          <w:szCs w:val="20"/>
          <w:lang w:val="cs-CZ"/>
        </w:rPr>
        <w:t>,9</w:t>
      </w:r>
      <w:r w:rsidRPr="00354AC7">
        <w:rPr>
          <w:rFonts w:ascii="Arial" w:hAnsi="Arial" w:cs="Arial"/>
          <w:sz w:val="20"/>
          <w:szCs w:val="20"/>
          <w:lang w:val="cs-CZ"/>
        </w:rPr>
        <w:t>0</w:t>
      </w:r>
      <w:r w:rsidRPr="00354AC7">
        <w:rPr>
          <w:rFonts w:ascii="Arial" w:hAnsi="Arial" w:cs="Arial"/>
          <w:sz w:val="20"/>
          <w:szCs w:val="20"/>
          <w:lang w:val="cs-CZ"/>
        </w:rPr>
        <w:t xml:space="preserve"> euro s DPH na Slovensku.</w:t>
      </w:r>
    </w:p>
    <w:p w14:paraId="2741D722" w14:textId="769B8CD3" w:rsidR="00E9453F" w:rsidRPr="00354AC7" w:rsidRDefault="00E9453F" w:rsidP="00354AC7">
      <w:pPr>
        <w:pStyle w:val="Odstavecseseznamem"/>
        <w:numPr>
          <w:ilvl w:val="0"/>
          <w:numId w:val="7"/>
        </w:numPr>
        <w:kinsoku w:val="0"/>
        <w:spacing w:after="120"/>
        <w:ind w:leftChars="0"/>
        <w:jc w:val="both"/>
        <w:rPr>
          <w:rFonts w:ascii="Arial" w:hAnsi="Arial" w:cs="Arial"/>
          <w:sz w:val="20"/>
          <w:szCs w:val="20"/>
          <w:lang w:val="cs-CZ"/>
        </w:rPr>
      </w:pPr>
      <w:r w:rsidRPr="00354AC7">
        <w:rPr>
          <w:rFonts w:ascii="Arial" w:hAnsi="Arial" w:cs="Arial"/>
          <w:sz w:val="20"/>
          <w:szCs w:val="20"/>
          <w:lang w:val="cs-CZ"/>
        </w:rPr>
        <w:t>2000 GB verze</w:t>
      </w:r>
      <w:r w:rsidRPr="00354AC7">
        <w:rPr>
          <w:rFonts w:ascii="Arial" w:hAnsi="Arial" w:cs="Arial"/>
          <w:sz w:val="20"/>
          <w:szCs w:val="20"/>
          <w:lang w:val="cs-CZ"/>
        </w:rPr>
        <w:t xml:space="preserve"> za </w:t>
      </w:r>
      <w:r w:rsidRPr="00354AC7">
        <w:rPr>
          <w:rFonts w:ascii="Arial" w:hAnsi="Arial" w:cs="Arial"/>
          <w:sz w:val="20"/>
          <w:szCs w:val="20"/>
          <w:lang w:val="cs-CZ"/>
        </w:rPr>
        <w:t>32</w:t>
      </w:r>
      <w:r w:rsidRPr="00354AC7">
        <w:rPr>
          <w:rFonts w:ascii="Arial" w:hAnsi="Arial" w:cs="Arial"/>
          <w:sz w:val="20"/>
          <w:szCs w:val="20"/>
          <w:lang w:val="cs-CZ"/>
        </w:rPr>
        <w:t xml:space="preserve">99 Kč s DPH v Česku a </w:t>
      </w:r>
      <w:r w:rsidRPr="00354AC7">
        <w:rPr>
          <w:rFonts w:ascii="Arial" w:hAnsi="Arial" w:cs="Arial"/>
          <w:sz w:val="20"/>
          <w:szCs w:val="20"/>
          <w:lang w:val="cs-CZ"/>
        </w:rPr>
        <w:t>134</w:t>
      </w:r>
      <w:r w:rsidRPr="00354AC7">
        <w:rPr>
          <w:rFonts w:ascii="Arial" w:hAnsi="Arial" w:cs="Arial"/>
          <w:sz w:val="20"/>
          <w:szCs w:val="20"/>
          <w:lang w:val="cs-CZ"/>
        </w:rPr>
        <w:t>,9</w:t>
      </w:r>
      <w:r w:rsidRPr="00354AC7">
        <w:rPr>
          <w:rFonts w:ascii="Arial" w:hAnsi="Arial" w:cs="Arial"/>
          <w:sz w:val="20"/>
          <w:szCs w:val="20"/>
          <w:lang w:val="cs-CZ"/>
        </w:rPr>
        <w:t>0</w:t>
      </w:r>
      <w:r w:rsidRPr="00354AC7">
        <w:rPr>
          <w:rFonts w:ascii="Arial" w:hAnsi="Arial" w:cs="Arial"/>
          <w:sz w:val="20"/>
          <w:szCs w:val="20"/>
          <w:lang w:val="cs-CZ"/>
        </w:rPr>
        <w:t xml:space="preserve"> euro s DPH na Slovensku.</w:t>
      </w:r>
    </w:p>
    <w:bookmarkEnd w:id="1"/>
    <w:p w14:paraId="03C71BB9" w14:textId="77777777" w:rsidR="00091A77" w:rsidRPr="00091A77" w:rsidRDefault="00091A77" w:rsidP="00091A77">
      <w:pPr>
        <w:kinsoku w:val="0"/>
        <w:spacing w:after="120"/>
        <w:jc w:val="both"/>
        <w:rPr>
          <w:rFonts w:ascii="Arial" w:hAnsi="Arial" w:cs="Arial"/>
          <w:sz w:val="20"/>
          <w:szCs w:val="20"/>
          <w:lang w:val="cs-CZ"/>
        </w:rPr>
      </w:pPr>
    </w:p>
    <w:bookmarkEnd w:id="2"/>
    <w:p w14:paraId="13B95445" w14:textId="6F08588E" w:rsidR="004E6940" w:rsidRPr="008C4F40" w:rsidRDefault="001A317C" w:rsidP="008F6D9F">
      <w:pPr>
        <w:kinsoku w:val="0"/>
        <w:spacing w:before="0" w:after="120"/>
        <w:jc w:val="both"/>
        <w:rPr>
          <w:rFonts w:ascii="Arial" w:hAnsi="Arial" w:cs="Arial"/>
          <w:sz w:val="20"/>
          <w:szCs w:val="20"/>
          <w:lang w:val="cs-CZ"/>
        </w:rPr>
      </w:pPr>
      <w:r w:rsidRPr="008C4F40">
        <w:rPr>
          <w:rFonts w:ascii="Arial" w:hAnsi="Arial" w:cs="Arial"/>
          <w:sz w:val="20"/>
          <w:szCs w:val="20"/>
          <w:lang w:val="cs-CZ"/>
        </w:rPr>
        <w:t xml:space="preserve">Pro více informací navštivte </w:t>
      </w:r>
      <w:hyperlink r:id="rId9" w:history="1">
        <w:r w:rsidR="00D02F98">
          <w:rPr>
            <w:rStyle w:val="Hypertextovodkaz"/>
            <w:rFonts w:ascii="Arial" w:hAnsi="Arial" w:cs="Arial"/>
            <w:sz w:val="20"/>
            <w:szCs w:val="20"/>
            <w:lang w:val="cs-CZ"/>
          </w:rPr>
          <w:t>https://www.</w:t>
        </w:r>
        <w:r w:rsidR="00D02F98">
          <w:rPr>
            <w:rStyle w:val="Hypertextovodkaz"/>
            <w:rFonts w:ascii="Arial" w:hAnsi="Arial" w:cs="Arial"/>
            <w:sz w:val="20"/>
            <w:szCs w:val="20"/>
            <w:lang w:val="cs-CZ"/>
          </w:rPr>
          <w:t>x</w:t>
        </w:r>
        <w:r w:rsidR="00D02F98">
          <w:rPr>
            <w:rStyle w:val="Hypertextovodkaz"/>
            <w:rFonts w:ascii="Arial" w:hAnsi="Arial" w:cs="Arial"/>
            <w:sz w:val="20"/>
            <w:szCs w:val="20"/>
            <w:lang w:val="cs-CZ"/>
          </w:rPr>
          <w:t>pg.com</w:t>
        </w:r>
      </w:hyperlink>
      <w:r w:rsidRPr="008C4F40">
        <w:rPr>
          <w:rFonts w:ascii="Arial" w:hAnsi="Arial" w:cs="Arial"/>
          <w:sz w:val="20"/>
          <w:szCs w:val="20"/>
          <w:lang w:val="cs-CZ"/>
        </w:rPr>
        <w:t xml:space="preserve">. </w:t>
      </w:r>
    </w:p>
    <w:bookmarkEnd w:id="0"/>
    <w:p w14:paraId="47E2A3F9" w14:textId="77777777" w:rsidR="00C10C38" w:rsidRPr="00AC6142" w:rsidRDefault="00C10C38" w:rsidP="008F6D9F">
      <w:pPr>
        <w:kinsoku w:val="0"/>
        <w:spacing w:before="0" w:after="120"/>
        <w:jc w:val="both"/>
        <w:rPr>
          <w:rFonts w:ascii="Arial" w:eastAsia="PMingLiU" w:hAnsi="Arial" w:cs="Arial"/>
          <w:b/>
          <w:color w:val="000000"/>
          <w:sz w:val="28"/>
          <w:szCs w:val="28"/>
          <w:lang w:val="cs-CZ"/>
        </w:rPr>
      </w:pPr>
    </w:p>
    <w:p w14:paraId="5CB9572E" w14:textId="77777777" w:rsidR="00C10C38" w:rsidRPr="00AC6142" w:rsidRDefault="00C10C38" w:rsidP="008F6D9F">
      <w:pPr>
        <w:kinsoku w:val="0"/>
        <w:spacing w:before="0" w:after="120"/>
        <w:jc w:val="both"/>
        <w:rPr>
          <w:rFonts w:ascii="Arial" w:eastAsia="PMingLiU" w:hAnsi="Arial" w:cs="Arial"/>
          <w:b/>
          <w:color w:val="000000"/>
          <w:lang w:val="cs-CZ"/>
        </w:rPr>
      </w:pPr>
      <w:r w:rsidRPr="00AC6142">
        <w:rPr>
          <w:rFonts w:ascii="Arial" w:eastAsia="PMingLiU" w:hAnsi="Arial" w:cs="Arial"/>
          <w:b/>
          <w:color w:val="000000"/>
          <w:lang w:val="cs-CZ"/>
        </w:rPr>
        <w:t>Kontaktní osoby:</w:t>
      </w:r>
    </w:p>
    <w:p w14:paraId="4D5263BD" w14:textId="77777777" w:rsidR="00C10C38" w:rsidRPr="00AC6142" w:rsidRDefault="00C10C38" w:rsidP="008F6D9F">
      <w:pPr>
        <w:kinsoku w:val="0"/>
        <w:spacing w:before="0" w:after="120"/>
        <w:rPr>
          <w:rFonts w:ascii="Arial" w:eastAsia="PMingLiU" w:hAnsi="Arial" w:cs="Arial"/>
          <w:bCs/>
          <w:color w:val="000000"/>
          <w:sz w:val="20"/>
          <w:szCs w:val="20"/>
          <w:lang w:val="cs-CZ"/>
        </w:rPr>
      </w:pPr>
      <w:r w:rsidRPr="00AC6142">
        <w:rPr>
          <w:rFonts w:ascii="Arial" w:eastAsia="PMingLiU" w:hAnsi="Arial" w:cs="Arial"/>
          <w:b/>
          <w:color w:val="000000"/>
          <w:sz w:val="20"/>
          <w:szCs w:val="20"/>
          <w:lang w:val="cs-CZ"/>
        </w:rPr>
        <w:t>Václav Kotyk</w:t>
      </w:r>
      <w:r w:rsidRPr="00AC6142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>, mediální konzultant, Grunex</w:t>
      </w:r>
      <w:r w:rsidR="008F6D9F" w:rsidRPr="00AC6142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br/>
      </w:r>
      <w:r w:rsidRPr="00AC6142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>(+ 420) 602 317 087, vaclav.kotyk@grunex.com</w:t>
      </w:r>
    </w:p>
    <w:p w14:paraId="6CC9364E" w14:textId="77777777" w:rsidR="00C10C38" w:rsidRPr="00AC6142" w:rsidRDefault="00C10C38" w:rsidP="008F6D9F">
      <w:pPr>
        <w:kinsoku w:val="0"/>
        <w:spacing w:before="0" w:after="120"/>
        <w:rPr>
          <w:rFonts w:ascii="Arial" w:eastAsia="PMingLiU" w:hAnsi="Arial" w:cs="Arial"/>
          <w:bCs/>
          <w:color w:val="000000"/>
          <w:sz w:val="20"/>
          <w:szCs w:val="20"/>
          <w:lang w:val="cs-CZ"/>
        </w:rPr>
      </w:pPr>
      <w:r w:rsidRPr="00AC6142">
        <w:rPr>
          <w:rFonts w:ascii="Arial" w:eastAsia="PMingLiU" w:hAnsi="Arial" w:cs="Arial"/>
          <w:b/>
          <w:color w:val="000000"/>
          <w:sz w:val="20"/>
          <w:szCs w:val="20"/>
          <w:lang w:val="cs-CZ"/>
        </w:rPr>
        <w:t>Martin Liberský</w:t>
      </w:r>
      <w:r w:rsidRPr="00AC6142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>, ředitel agentury, Grunex</w:t>
      </w:r>
      <w:r w:rsidR="008F6D9F" w:rsidRPr="00AC6142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br/>
      </w:r>
      <w:r w:rsidRPr="00AC6142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>(+ 420) 603 434 318, martin.libersky@grunex.com</w:t>
      </w:r>
    </w:p>
    <w:p w14:paraId="7E3536B5" w14:textId="77777777" w:rsidR="008F6D9F" w:rsidRPr="00AC6142" w:rsidRDefault="008F6D9F" w:rsidP="008F6D9F">
      <w:pPr>
        <w:pStyle w:val="ContactInformation"/>
        <w:spacing w:after="120" w:line="360" w:lineRule="exact"/>
        <w:jc w:val="both"/>
        <w:rPr>
          <w:rFonts w:ascii="Arial" w:eastAsia="PMingLiU" w:hAnsi="Arial" w:cs="Arial"/>
          <w:b/>
          <w:color w:val="000000"/>
          <w:lang w:val="cs-CZ"/>
        </w:rPr>
      </w:pPr>
    </w:p>
    <w:p w14:paraId="5A80BF01" w14:textId="77777777" w:rsidR="00D67CAA" w:rsidRPr="00AC6142" w:rsidRDefault="008F6D9F" w:rsidP="008F6D9F">
      <w:pPr>
        <w:pStyle w:val="ContactInformation"/>
        <w:spacing w:after="120" w:line="360" w:lineRule="exact"/>
        <w:jc w:val="both"/>
        <w:rPr>
          <w:rFonts w:ascii="Arial" w:eastAsia="PMingLiU" w:hAnsi="Arial" w:cs="Arial"/>
          <w:b/>
          <w:color w:val="000000"/>
          <w:lang w:val="cs-CZ"/>
        </w:rPr>
      </w:pPr>
      <w:r w:rsidRPr="00AC6142">
        <w:rPr>
          <w:rFonts w:ascii="Arial" w:eastAsia="PMingLiU" w:hAnsi="Arial" w:cs="Arial"/>
          <w:b/>
          <w:color w:val="000000"/>
          <w:lang w:val="cs-CZ"/>
        </w:rPr>
        <w:t>Poznámky pro editory</w:t>
      </w:r>
    </w:p>
    <w:p w14:paraId="182C6FF1" w14:textId="77777777" w:rsidR="00BD3F6D" w:rsidRPr="00AC6142" w:rsidRDefault="00BD3F6D" w:rsidP="008F6D9F">
      <w:pPr>
        <w:pStyle w:val="ContactInformation"/>
        <w:spacing w:after="120" w:line="360" w:lineRule="exact"/>
        <w:jc w:val="both"/>
        <w:rPr>
          <w:rFonts w:ascii="Arial" w:eastAsia="PMingLiU" w:hAnsi="Arial" w:cs="Arial"/>
          <w:b/>
          <w:color w:val="000000"/>
          <w:sz w:val="22"/>
          <w:szCs w:val="22"/>
          <w:u w:val="single"/>
          <w:lang w:val="cs-CZ"/>
        </w:rPr>
      </w:pPr>
      <w:r w:rsidRPr="00AC6142">
        <w:rPr>
          <w:rFonts w:ascii="Arial" w:eastAsia="PMingLiU" w:hAnsi="Arial" w:cs="Arial"/>
          <w:b/>
          <w:color w:val="000000"/>
          <w:sz w:val="22"/>
          <w:szCs w:val="22"/>
          <w:u w:val="single"/>
          <w:lang w:val="cs-CZ"/>
        </w:rPr>
        <w:t xml:space="preserve">O značce XPG – </w:t>
      </w:r>
      <w:proofErr w:type="spellStart"/>
      <w:r w:rsidR="009006A8" w:rsidRPr="00AC6142">
        <w:rPr>
          <w:rFonts w:ascii="Arial" w:eastAsia="PMingLiU" w:hAnsi="Arial" w:cs="Arial"/>
          <w:b/>
          <w:color w:val="000000"/>
          <w:sz w:val="22"/>
          <w:szCs w:val="22"/>
          <w:u w:val="single"/>
          <w:lang w:val="cs-CZ"/>
        </w:rPr>
        <w:t>Xtreme</w:t>
      </w:r>
      <w:proofErr w:type="spellEnd"/>
      <w:r w:rsidR="009006A8" w:rsidRPr="00AC6142">
        <w:rPr>
          <w:rFonts w:ascii="Arial" w:eastAsia="PMingLiU" w:hAnsi="Arial" w:cs="Arial"/>
          <w:b/>
          <w:color w:val="000000"/>
          <w:sz w:val="22"/>
          <w:szCs w:val="22"/>
          <w:u w:val="single"/>
          <w:lang w:val="cs-CZ"/>
        </w:rPr>
        <w:t xml:space="preserve"> </w:t>
      </w:r>
      <w:r w:rsidR="00D82A3C" w:rsidRPr="00AC6142">
        <w:rPr>
          <w:rFonts w:ascii="Arial" w:eastAsia="PMingLiU" w:hAnsi="Arial" w:cs="Arial"/>
          <w:b/>
          <w:color w:val="000000"/>
          <w:sz w:val="22"/>
          <w:szCs w:val="22"/>
          <w:u w:val="single"/>
          <w:lang w:val="cs-CZ"/>
        </w:rPr>
        <w:t>P</w:t>
      </w:r>
      <w:r w:rsidR="009006A8" w:rsidRPr="00AC6142">
        <w:rPr>
          <w:rFonts w:ascii="Arial" w:eastAsia="PMingLiU" w:hAnsi="Arial" w:cs="Arial"/>
          <w:b/>
          <w:color w:val="000000"/>
          <w:sz w:val="22"/>
          <w:szCs w:val="22"/>
          <w:u w:val="single"/>
          <w:lang w:val="cs-CZ"/>
        </w:rPr>
        <w:t xml:space="preserve">erformance </w:t>
      </w:r>
      <w:proofErr w:type="spellStart"/>
      <w:r w:rsidR="00D82A3C" w:rsidRPr="00AC6142">
        <w:rPr>
          <w:rFonts w:ascii="Arial" w:eastAsia="PMingLiU" w:hAnsi="Arial" w:cs="Arial"/>
          <w:b/>
          <w:color w:val="000000"/>
          <w:sz w:val="22"/>
          <w:szCs w:val="22"/>
          <w:u w:val="single"/>
          <w:lang w:val="cs-CZ"/>
        </w:rPr>
        <w:t>G</w:t>
      </w:r>
      <w:r w:rsidR="009006A8" w:rsidRPr="00AC6142">
        <w:rPr>
          <w:rFonts w:ascii="Arial" w:eastAsia="PMingLiU" w:hAnsi="Arial" w:cs="Arial"/>
          <w:b/>
          <w:color w:val="000000"/>
          <w:sz w:val="22"/>
          <w:szCs w:val="22"/>
          <w:u w:val="single"/>
          <w:lang w:val="cs-CZ"/>
        </w:rPr>
        <w:t>ear</w:t>
      </w:r>
      <w:proofErr w:type="spellEnd"/>
    </w:p>
    <w:p w14:paraId="7BCF3D93" w14:textId="77777777" w:rsidR="00BD3F6D" w:rsidRPr="00AC6142" w:rsidRDefault="009006A8" w:rsidP="00BD3F6D">
      <w:pPr>
        <w:pStyle w:val="ContactInformation"/>
        <w:spacing w:after="120" w:line="360" w:lineRule="exact"/>
        <w:jc w:val="both"/>
        <w:rPr>
          <w:rFonts w:ascii="Arial" w:eastAsia="PMingLiU" w:hAnsi="Arial" w:cs="Arial"/>
          <w:bCs/>
          <w:color w:val="000000"/>
          <w:sz w:val="20"/>
          <w:szCs w:val="20"/>
          <w:lang w:val="cs-CZ"/>
        </w:rPr>
      </w:pPr>
      <w:r w:rsidRPr="00AC6142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>Značka XPG (</w:t>
      </w:r>
      <w:proofErr w:type="spellStart"/>
      <w:r w:rsidRPr="00AC6142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>X</w:t>
      </w:r>
      <w:r w:rsidR="00D82A3C" w:rsidRPr="00AC6142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>treme</w:t>
      </w:r>
      <w:proofErr w:type="spellEnd"/>
      <w:r w:rsidRPr="00AC6142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 xml:space="preserve"> P</w:t>
      </w:r>
      <w:r w:rsidR="00D82A3C" w:rsidRPr="00AC6142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>erformance</w:t>
      </w:r>
      <w:r w:rsidRPr="00AC6142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 xml:space="preserve"> </w:t>
      </w:r>
      <w:proofErr w:type="spellStart"/>
      <w:r w:rsidRPr="00AC6142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>G</w:t>
      </w:r>
      <w:r w:rsidR="00D82A3C" w:rsidRPr="00AC6142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>ear</w:t>
      </w:r>
      <w:proofErr w:type="spellEnd"/>
      <w:r w:rsidRPr="00AC6142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 xml:space="preserve">) byla založena společností ADATA s cílem poskytovat </w:t>
      </w:r>
      <w:r w:rsidR="00D82A3C" w:rsidRPr="00AC6142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>spolehlivé</w:t>
      </w:r>
      <w:r w:rsidRPr="00AC6142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 xml:space="preserve"> produkty pro hráče, profesionální </w:t>
      </w:r>
      <w:proofErr w:type="spellStart"/>
      <w:r w:rsidR="00D82A3C" w:rsidRPr="00AC6142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>e</w:t>
      </w:r>
      <w:r w:rsidR="00834206" w:rsidRPr="00AC6142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>S</w:t>
      </w:r>
      <w:r w:rsidR="00D82A3C" w:rsidRPr="00AC6142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>port</w:t>
      </w:r>
      <w:proofErr w:type="spellEnd"/>
      <w:r w:rsidR="00D82A3C" w:rsidRPr="00AC6142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 xml:space="preserve"> </w:t>
      </w:r>
      <w:r w:rsidRPr="00AC6142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>hráče</w:t>
      </w:r>
      <w:r w:rsidR="00D82A3C" w:rsidRPr="00AC6142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 xml:space="preserve"> </w:t>
      </w:r>
      <w:r w:rsidRPr="00AC6142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 xml:space="preserve">a technické nadšence. XPG se snaží vyvíjet produkty, které nabízejí maximální výkon, a úzce spolupracuje s herními a </w:t>
      </w:r>
      <w:proofErr w:type="spellStart"/>
      <w:r w:rsidRPr="00AC6142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>eSport</w:t>
      </w:r>
      <w:proofErr w:type="spellEnd"/>
      <w:r w:rsidRPr="00AC6142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 xml:space="preserve"> komunitami, aby získala </w:t>
      </w:r>
      <w:r w:rsidR="00834206" w:rsidRPr="00AC6142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>detailní</w:t>
      </w:r>
      <w:r w:rsidRPr="00AC6142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 xml:space="preserve"> přehled o potřebách uživatelů.</w:t>
      </w:r>
      <w:r w:rsidR="005D4C00" w:rsidRPr="00AC6142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 xml:space="preserve"> </w:t>
      </w:r>
      <w:r w:rsidRPr="00AC6142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 xml:space="preserve">Kompletní sortiment produktů XPG zahrnuje </w:t>
      </w:r>
      <w:r w:rsidR="00834206" w:rsidRPr="00AC6142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>celý eko</w:t>
      </w:r>
      <w:r w:rsidRPr="00AC6142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>systém</w:t>
      </w:r>
      <w:r w:rsidR="00834206" w:rsidRPr="00AC6142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 xml:space="preserve"> včetně </w:t>
      </w:r>
      <w:r w:rsidRPr="00AC6142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>komponent a periferi</w:t>
      </w:r>
      <w:r w:rsidR="00834206" w:rsidRPr="00AC6142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>í</w:t>
      </w:r>
      <w:r w:rsidRPr="00AC6142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 xml:space="preserve"> vyroben</w:t>
      </w:r>
      <w:r w:rsidR="00834206" w:rsidRPr="00AC6142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>ých</w:t>
      </w:r>
      <w:r w:rsidRPr="00AC6142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 xml:space="preserve"> </w:t>
      </w:r>
      <w:r w:rsidR="00834206" w:rsidRPr="00AC6142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>s </w:t>
      </w:r>
      <w:r w:rsidRPr="00AC6142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 xml:space="preserve">podle nejvyšších standardů </w:t>
      </w:r>
      <w:r w:rsidR="00834206" w:rsidRPr="00AC6142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>kvality</w:t>
      </w:r>
      <w:r w:rsidRPr="00AC6142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 xml:space="preserve">, spolehlivosti a výkonu. </w:t>
      </w:r>
      <w:r w:rsidR="00834206" w:rsidRPr="00AC6142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 xml:space="preserve">Produkty </w:t>
      </w:r>
      <w:r w:rsidRPr="00AC6142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>XPG získal</w:t>
      </w:r>
      <w:r w:rsidR="00834206" w:rsidRPr="00AC6142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>y</w:t>
      </w:r>
      <w:r w:rsidRPr="00AC6142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 xml:space="preserve"> také řadu renomovaných mezinárodních ocenění, jako jsou </w:t>
      </w:r>
      <w:proofErr w:type="spellStart"/>
      <w:r w:rsidRPr="00AC6142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>iF</w:t>
      </w:r>
      <w:proofErr w:type="spellEnd"/>
      <w:r w:rsidRPr="00AC6142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 xml:space="preserve"> Design a </w:t>
      </w:r>
      <w:proofErr w:type="spellStart"/>
      <w:r w:rsidRPr="00AC6142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>Good</w:t>
      </w:r>
      <w:proofErr w:type="spellEnd"/>
      <w:r w:rsidRPr="00AC6142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 xml:space="preserve"> Design</w:t>
      </w:r>
      <w:r w:rsidR="00834206" w:rsidRPr="00AC6142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 xml:space="preserve"> za moderní design</w:t>
      </w:r>
      <w:r w:rsidRPr="00AC6142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 xml:space="preserve">. XPG aktivně sponzoruje celosvětové </w:t>
      </w:r>
      <w:proofErr w:type="spellStart"/>
      <w:r w:rsidR="00834206" w:rsidRPr="00AC6142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>eSport</w:t>
      </w:r>
      <w:proofErr w:type="spellEnd"/>
      <w:r w:rsidR="00834206" w:rsidRPr="00AC6142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 xml:space="preserve"> </w:t>
      </w:r>
      <w:r w:rsidRPr="00AC6142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 xml:space="preserve">soutěže a týmy, aby umožnila dokonalé herní zážitky na nejvyšší úrovni. Další informace naleznete na oficiálních webových stránkách </w:t>
      </w:r>
      <w:hyperlink r:id="rId10" w:history="1">
        <w:r w:rsidR="00834206" w:rsidRPr="00AC6142">
          <w:rPr>
            <w:rStyle w:val="Hypertextovodkaz"/>
            <w:rFonts w:ascii="Arial" w:eastAsia="PMingLiU" w:hAnsi="Arial" w:cs="Arial"/>
            <w:bCs/>
            <w:sz w:val="20"/>
            <w:szCs w:val="20"/>
            <w:lang w:val="cs-CZ"/>
          </w:rPr>
          <w:t>www.xpg.com</w:t>
        </w:r>
      </w:hyperlink>
      <w:r w:rsidR="00834206" w:rsidRPr="00AC6142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>.</w:t>
      </w:r>
    </w:p>
    <w:sectPr w:rsidR="00BD3F6D" w:rsidRPr="00AC6142" w:rsidSect="00166297">
      <w:headerReference w:type="default" r:id="rId11"/>
      <w:footerReference w:type="default" r:id="rId12"/>
      <w:pgSz w:w="11906" w:h="16838"/>
      <w:pgMar w:top="1021" w:right="1021" w:bottom="1021" w:left="102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B130B5" w14:textId="77777777" w:rsidR="00472D02" w:rsidRDefault="00472D02">
      <w:r>
        <w:separator/>
      </w:r>
    </w:p>
  </w:endnote>
  <w:endnote w:type="continuationSeparator" w:id="0">
    <w:p w14:paraId="1DF10997" w14:textId="77777777" w:rsidR="00472D02" w:rsidRDefault="00472D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A7F86B" w14:textId="77777777" w:rsidR="008F6D9F" w:rsidRPr="00AC6142" w:rsidRDefault="008F6D9F" w:rsidP="008F6D9F">
    <w:pPr>
      <w:pStyle w:val="Zpat"/>
      <w:rPr>
        <w:lang w:val="fr-FR"/>
      </w:rPr>
    </w:pPr>
  </w:p>
  <w:p w14:paraId="6BF20652" w14:textId="77777777" w:rsidR="008F6D9F" w:rsidRPr="00AC6142" w:rsidRDefault="008F6D9F" w:rsidP="008F6D9F">
    <w:pPr>
      <w:pStyle w:val="Zpat"/>
      <w:rPr>
        <w:lang w:val="fr-FR"/>
      </w:rPr>
    </w:pPr>
    <w:proofErr w:type="spellStart"/>
    <w:r w:rsidRPr="00AC6142">
      <w:rPr>
        <w:lang w:val="fr-FR"/>
      </w:rPr>
      <w:t>Vytvořila</w:t>
    </w:r>
    <w:proofErr w:type="spellEnd"/>
    <w:r w:rsidRPr="00AC6142">
      <w:rPr>
        <w:lang w:val="fr-FR"/>
      </w:rPr>
      <w:t xml:space="preserve"> </w:t>
    </w:r>
    <w:proofErr w:type="spellStart"/>
    <w:r w:rsidRPr="00AC6142">
      <w:rPr>
        <w:lang w:val="fr-FR"/>
      </w:rPr>
      <w:t>agentura</w:t>
    </w:r>
    <w:proofErr w:type="spellEnd"/>
    <w:r w:rsidRPr="00AC6142">
      <w:rPr>
        <w:lang w:val="fr-FR"/>
      </w:rPr>
      <w:t xml:space="preserve"> Grunex | www.GrunexB2B.com</w:t>
    </w:r>
  </w:p>
  <w:p w14:paraId="3EE975BE" w14:textId="77777777" w:rsidR="008F6D9F" w:rsidRPr="00AC6142" w:rsidRDefault="008F6D9F" w:rsidP="008F6D9F">
    <w:pPr>
      <w:pStyle w:val="Zpat"/>
      <w:rPr>
        <w:lang w:val="fr-FR"/>
      </w:rPr>
    </w:pPr>
    <w:r w:rsidRPr="00AC6142">
      <w:rPr>
        <w:lang w:val="fr-FR"/>
      </w:rPr>
      <w:t>[</w:t>
    </w:r>
    <w:proofErr w:type="spellStart"/>
    <w:r w:rsidRPr="00AC6142">
      <w:rPr>
        <w:lang w:val="fr-FR"/>
      </w:rPr>
      <w:t>Tiskové</w:t>
    </w:r>
    <w:proofErr w:type="spellEnd"/>
    <w:r w:rsidRPr="00AC6142">
      <w:rPr>
        <w:lang w:val="fr-FR"/>
      </w:rPr>
      <w:t xml:space="preserve"> </w:t>
    </w:r>
    <w:proofErr w:type="spellStart"/>
    <w:r w:rsidRPr="00AC6142">
      <w:rPr>
        <w:lang w:val="fr-FR"/>
      </w:rPr>
      <w:t>středisko</w:t>
    </w:r>
    <w:proofErr w:type="spellEnd"/>
    <w:r w:rsidRPr="00AC6142">
      <w:rPr>
        <w:lang w:val="fr-FR"/>
      </w:rPr>
      <w:t xml:space="preserve">, </w:t>
    </w:r>
    <w:proofErr w:type="spellStart"/>
    <w:r w:rsidRPr="00AC6142">
      <w:rPr>
        <w:lang w:val="fr-FR"/>
      </w:rPr>
      <w:t>kde</w:t>
    </w:r>
    <w:proofErr w:type="spellEnd"/>
    <w:r w:rsidRPr="00AC6142">
      <w:rPr>
        <w:lang w:val="fr-FR"/>
      </w:rPr>
      <w:t xml:space="preserve"> si </w:t>
    </w:r>
    <w:proofErr w:type="spellStart"/>
    <w:r w:rsidRPr="00AC6142">
      <w:rPr>
        <w:lang w:val="fr-FR"/>
      </w:rPr>
      <w:t>můžete</w:t>
    </w:r>
    <w:proofErr w:type="spellEnd"/>
    <w:r w:rsidRPr="00AC6142">
      <w:rPr>
        <w:lang w:val="fr-FR"/>
      </w:rPr>
      <w:t xml:space="preserve"> </w:t>
    </w:r>
    <w:proofErr w:type="spellStart"/>
    <w:r w:rsidRPr="00AC6142">
      <w:rPr>
        <w:lang w:val="fr-FR"/>
      </w:rPr>
      <w:t>stáhnout</w:t>
    </w:r>
    <w:proofErr w:type="spellEnd"/>
    <w:r w:rsidRPr="00AC6142">
      <w:rPr>
        <w:lang w:val="fr-FR"/>
      </w:rPr>
      <w:t xml:space="preserve"> </w:t>
    </w:r>
    <w:proofErr w:type="spellStart"/>
    <w:r w:rsidRPr="00AC6142">
      <w:rPr>
        <w:lang w:val="fr-FR"/>
      </w:rPr>
      <w:t>podklady</w:t>
    </w:r>
    <w:proofErr w:type="spellEnd"/>
    <w:r w:rsidRPr="00AC6142">
      <w:rPr>
        <w:lang w:val="fr-FR"/>
      </w:rPr>
      <w:t xml:space="preserve"> ADATA]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FD1B9D" w14:textId="77777777" w:rsidR="00472D02" w:rsidRDefault="00472D02">
      <w:r>
        <w:separator/>
      </w:r>
    </w:p>
  </w:footnote>
  <w:footnote w:type="continuationSeparator" w:id="0">
    <w:p w14:paraId="524833C6" w14:textId="77777777" w:rsidR="00472D02" w:rsidRDefault="00472D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BD45E0" w14:textId="77777777" w:rsidR="00C76187" w:rsidRPr="00C10C38" w:rsidRDefault="00C10C38" w:rsidP="00C10C38">
    <w:pPr>
      <w:pStyle w:val="Zhlav"/>
      <w:rPr>
        <w:rFonts w:ascii="Arial" w:hAnsi="Arial" w:cs="Arial"/>
      </w:rPr>
    </w:pPr>
    <w:r w:rsidRPr="00C10C38">
      <w:rPr>
        <w:rFonts w:ascii="Arial" w:hAnsi="Arial" w:cs="Arial"/>
        <w:noProof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502A075E" wp14:editId="77698A32">
              <wp:simplePos x="0" y="0"/>
              <wp:positionH relativeFrom="margin">
                <wp:align>right</wp:align>
              </wp:positionH>
              <wp:positionV relativeFrom="paragraph">
                <wp:posOffset>106680</wp:posOffset>
              </wp:positionV>
              <wp:extent cx="2360930" cy="1404620"/>
              <wp:effectExtent l="0" t="0" r="8890" b="0"/>
              <wp:wrapSquare wrapText="bothSides"/>
              <wp:docPr id="217" name="Textové po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6093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B5FC392" w14:textId="77777777" w:rsidR="00C10C38" w:rsidRPr="00C10C38" w:rsidRDefault="00C10C38" w:rsidP="00C10C38">
                          <w:pPr>
                            <w:jc w:val="right"/>
                            <w:rPr>
                              <w:lang w:val="cs-CZ"/>
                            </w:rPr>
                          </w:pPr>
                          <w:r w:rsidRPr="00C10C38">
                            <w:rPr>
                              <w:rFonts w:ascii="Arial" w:hAnsi="Arial" w:cs="Arial"/>
                              <w:lang w:val="cs-CZ"/>
                            </w:rPr>
                            <w:t>Tisková zpráva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502A075E" id="_x0000_t202" coordsize="21600,21600" o:spt="202" path="m,l,21600r21600,l21600,xe">
              <v:stroke joinstyle="miter"/>
              <v:path gradientshapeok="t" o:connecttype="rect"/>
            </v:shapetype>
            <v:shape id="Textové pole 2" o:spid="_x0000_s1026" type="#_x0000_t202" style="position:absolute;margin-left:134.7pt;margin-top:8.4pt;width:185.9pt;height:110.6pt;z-index:251659264;visibility:visible;mso-wrap-style:square;mso-width-percent:40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" stroked="f">
              <v:textbox style="mso-fit-shape-to-text:t">
                <w:txbxContent>
                  <w:p w14:paraId="6B5FC392" w14:textId="77777777" w:rsidR="00C10C38" w:rsidRPr="00C10C38" w:rsidRDefault="00C10C38" w:rsidP="00C10C38">
                    <w:pPr>
                      <w:jc w:val="right"/>
                      <w:rPr>
                        <w:lang w:val="cs-CZ"/>
                      </w:rPr>
                    </w:pPr>
                    <w:r w:rsidRPr="00C10C38">
                      <w:rPr>
                        <w:rFonts w:ascii="Arial" w:hAnsi="Arial" w:cs="Arial"/>
                        <w:lang w:val="cs-CZ"/>
                      </w:rPr>
                      <w:t>Tisková zpráva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="00166297" w:rsidRPr="00C10C38">
      <w:rPr>
        <w:rFonts w:ascii="Arial" w:hAnsi="Arial" w:cs="Arial"/>
        <w:noProof/>
      </w:rPr>
      <w:drawing>
        <wp:inline distT="0" distB="0" distL="0" distR="0" wp14:anchorId="26E79355" wp14:editId="1D0BDE66">
          <wp:extent cx="1580917" cy="905735"/>
          <wp:effectExtent l="0" t="0" r="0" b="0"/>
          <wp:docPr id="2" name="圖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圖片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1354" b="21354"/>
                  <a:stretch>
                    <a:fillRect/>
                  </a:stretch>
                </pic:blipFill>
                <pic:spPr bwMode="auto">
                  <a:xfrm>
                    <a:off x="0" y="0"/>
                    <a:ext cx="1580917" cy="9057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942BA6"/>
    <w:multiLevelType w:val="hybridMultilevel"/>
    <w:tmpl w:val="F294C15E"/>
    <w:lvl w:ilvl="0" w:tplc="A64EA5F6">
      <w:start w:val="1"/>
      <w:numFmt w:val="bullet"/>
      <w:lvlText w:val=""/>
      <w:lvlJc w:val="left"/>
      <w:pPr>
        <w:tabs>
          <w:tab w:val="num" w:pos="0"/>
        </w:tabs>
        <w:ind w:left="360" w:hanging="480"/>
      </w:pPr>
      <w:rPr>
        <w:rFonts w:ascii="Symbol" w:hAnsi="Symbol" w:cs="Wingdings" w:hint="default"/>
        <w:vanish w:val="0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F260BF"/>
    <w:multiLevelType w:val="hybridMultilevel"/>
    <w:tmpl w:val="B22CF5EE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C4E7278"/>
    <w:multiLevelType w:val="hybridMultilevel"/>
    <w:tmpl w:val="608E9E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2E50F4"/>
    <w:multiLevelType w:val="hybridMultilevel"/>
    <w:tmpl w:val="EC0C4B3A"/>
    <w:lvl w:ilvl="0" w:tplc="CC82115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6FC13F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39EA95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B9CE74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14A5C5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C1A384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58423A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80AFE8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A840E9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F576539"/>
    <w:multiLevelType w:val="hybridMultilevel"/>
    <w:tmpl w:val="29761D8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F292556"/>
    <w:multiLevelType w:val="hybridMultilevel"/>
    <w:tmpl w:val="3CD64F88"/>
    <w:lvl w:ilvl="0" w:tplc="636A40EA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B1C9F20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6549F12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D5E29F6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38C39CC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DD2EE70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6B00386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934DD30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DE43672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0BC2656"/>
    <w:multiLevelType w:val="hybridMultilevel"/>
    <w:tmpl w:val="D03AD62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19248016">
    <w:abstractNumId w:val="5"/>
  </w:num>
  <w:num w:numId="2" w16cid:durableId="1778718744">
    <w:abstractNumId w:val="3"/>
  </w:num>
  <w:num w:numId="3" w16cid:durableId="506021825">
    <w:abstractNumId w:val="0"/>
  </w:num>
  <w:num w:numId="4" w16cid:durableId="1705787803">
    <w:abstractNumId w:val="2"/>
  </w:num>
  <w:num w:numId="5" w16cid:durableId="295919790">
    <w:abstractNumId w:val="4"/>
  </w:num>
  <w:num w:numId="6" w16cid:durableId="771315337">
    <w:abstractNumId w:val="1"/>
  </w:num>
  <w:num w:numId="7" w16cid:durableId="98273229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activeWritingStyle w:appName="MSWord" w:lang="en-US" w:vendorID="64" w:dllVersion="6" w:nlCheck="1" w:checkStyle="0"/>
  <w:activeWritingStyle w:appName="MSWord" w:lang="zh-TW" w:vendorID="64" w:dllVersion="5" w:nlCheck="1" w:checkStyle="1"/>
  <w:activeWritingStyle w:appName="MSWord" w:lang="fr-FR" w:vendorID="64" w:dllVersion="6" w:nlCheck="1" w:checkStyle="1"/>
  <w:activeWritingStyle w:appName="MSWord" w:lang="en-US" w:vendorID="64" w:dllVersion="4096" w:nlCheck="1" w:checkStyle="0"/>
  <w:activeWritingStyle w:appName="MSWord" w:lang="cs-CZ" w:vendorID="64" w:dllVersion="4096" w:nlCheck="1" w:checkStyle="0"/>
  <w:activeWritingStyle w:appName="MSWord" w:lang="en-GB" w:vendorID="64" w:dllVersion="4096" w:nlCheck="1" w:checkStyle="0"/>
  <w:activeWritingStyle w:appName="MSWord" w:lang="fr-FR" w:vendorID="64" w:dllVersion="4096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hyphenationZone w:val="425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N7A0NDIzN7I0MTQ1NbZU0lEKTi0uzszPAykwNKoFAFuGhfYtAAAA"/>
  </w:docVars>
  <w:rsids>
    <w:rsidRoot w:val="00D444E5"/>
    <w:rsid w:val="00000A53"/>
    <w:rsid w:val="00003612"/>
    <w:rsid w:val="0000682E"/>
    <w:rsid w:val="000133DE"/>
    <w:rsid w:val="0001597B"/>
    <w:rsid w:val="000175F7"/>
    <w:rsid w:val="00017E0E"/>
    <w:rsid w:val="00020562"/>
    <w:rsid w:val="00041A6E"/>
    <w:rsid w:val="00045497"/>
    <w:rsid w:val="00047B5A"/>
    <w:rsid w:val="00050194"/>
    <w:rsid w:val="00052CA0"/>
    <w:rsid w:val="00052CA5"/>
    <w:rsid w:val="00053A57"/>
    <w:rsid w:val="0005468C"/>
    <w:rsid w:val="000547A6"/>
    <w:rsid w:val="000570EA"/>
    <w:rsid w:val="00057609"/>
    <w:rsid w:val="00062FAE"/>
    <w:rsid w:val="00062FB9"/>
    <w:rsid w:val="0006712F"/>
    <w:rsid w:val="00067C5A"/>
    <w:rsid w:val="00072D26"/>
    <w:rsid w:val="00081C70"/>
    <w:rsid w:val="000840AD"/>
    <w:rsid w:val="000908CE"/>
    <w:rsid w:val="00090A36"/>
    <w:rsid w:val="00090F00"/>
    <w:rsid w:val="000911B2"/>
    <w:rsid w:val="00091A77"/>
    <w:rsid w:val="0009451E"/>
    <w:rsid w:val="000A1A70"/>
    <w:rsid w:val="000C1438"/>
    <w:rsid w:val="000C22B4"/>
    <w:rsid w:val="000C5932"/>
    <w:rsid w:val="000C6BE2"/>
    <w:rsid w:val="000D2E87"/>
    <w:rsid w:val="000D4B08"/>
    <w:rsid w:val="000E0DF0"/>
    <w:rsid w:val="000E30FA"/>
    <w:rsid w:val="000E39E7"/>
    <w:rsid w:val="000E5A7C"/>
    <w:rsid w:val="000F1066"/>
    <w:rsid w:val="000F1152"/>
    <w:rsid w:val="000F6014"/>
    <w:rsid w:val="001003F5"/>
    <w:rsid w:val="00105C5F"/>
    <w:rsid w:val="00113028"/>
    <w:rsid w:val="001159F3"/>
    <w:rsid w:val="00120342"/>
    <w:rsid w:val="00120D9A"/>
    <w:rsid w:val="0012528B"/>
    <w:rsid w:val="001273F9"/>
    <w:rsid w:val="001319F4"/>
    <w:rsid w:val="001331CA"/>
    <w:rsid w:val="0014159B"/>
    <w:rsid w:val="001433C6"/>
    <w:rsid w:val="00144257"/>
    <w:rsid w:val="00152434"/>
    <w:rsid w:val="00160867"/>
    <w:rsid w:val="00166297"/>
    <w:rsid w:val="00170E5D"/>
    <w:rsid w:val="00172AA3"/>
    <w:rsid w:val="001745E4"/>
    <w:rsid w:val="00174F99"/>
    <w:rsid w:val="001759EC"/>
    <w:rsid w:val="00180D33"/>
    <w:rsid w:val="00185464"/>
    <w:rsid w:val="00194ECC"/>
    <w:rsid w:val="00196CFF"/>
    <w:rsid w:val="001973E8"/>
    <w:rsid w:val="001A089F"/>
    <w:rsid w:val="001A317C"/>
    <w:rsid w:val="001A5701"/>
    <w:rsid w:val="001A69ED"/>
    <w:rsid w:val="001B0850"/>
    <w:rsid w:val="001B2243"/>
    <w:rsid w:val="001B34B4"/>
    <w:rsid w:val="001B4A22"/>
    <w:rsid w:val="001B59F0"/>
    <w:rsid w:val="001C0B3E"/>
    <w:rsid w:val="001C0B48"/>
    <w:rsid w:val="001C4C3D"/>
    <w:rsid w:val="001E0B25"/>
    <w:rsid w:val="001E757D"/>
    <w:rsid w:val="001F2647"/>
    <w:rsid w:val="001F3A10"/>
    <w:rsid w:val="001F7E77"/>
    <w:rsid w:val="00212620"/>
    <w:rsid w:val="002155B0"/>
    <w:rsid w:val="00223268"/>
    <w:rsid w:val="002362ED"/>
    <w:rsid w:val="0024321C"/>
    <w:rsid w:val="00244878"/>
    <w:rsid w:val="0025365D"/>
    <w:rsid w:val="002563AB"/>
    <w:rsid w:val="00260449"/>
    <w:rsid w:val="00260489"/>
    <w:rsid w:val="002616F5"/>
    <w:rsid w:val="00262DE8"/>
    <w:rsid w:val="0026526F"/>
    <w:rsid w:val="002813D2"/>
    <w:rsid w:val="00283BAC"/>
    <w:rsid w:val="00284D5B"/>
    <w:rsid w:val="0029388C"/>
    <w:rsid w:val="00295F6A"/>
    <w:rsid w:val="002979D0"/>
    <w:rsid w:val="002B2B8A"/>
    <w:rsid w:val="002B3404"/>
    <w:rsid w:val="002B37EA"/>
    <w:rsid w:val="002B4858"/>
    <w:rsid w:val="002B6B63"/>
    <w:rsid w:val="002C0319"/>
    <w:rsid w:val="002C3BF8"/>
    <w:rsid w:val="002C6DF5"/>
    <w:rsid w:val="002F2741"/>
    <w:rsid w:val="002F6E4E"/>
    <w:rsid w:val="002F70B8"/>
    <w:rsid w:val="00300A96"/>
    <w:rsid w:val="00304037"/>
    <w:rsid w:val="003043BF"/>
    <w:rsid w:val="00306203"/>
    <w:rsid w:val="003067E9"/>
    <w:rsid w:val="00322DD8"/>
    <w:rsid w:val="0032496E"/>
    <w:rsid w:val="00331247"/>
    <w:rsid w:val="00332B21"/>
    <w:rsid w:val="003347DE"/>
    <w:rsid w:val="00337302"/>
    <w:rsid w:val="00344406"/>
    <w:rsid w:val="00344A2C"/>
    <w:rsid w:val="00345DB9"/>
    <w:rsid w:val="00346773"/>
    <w:rsid w:val="00354AC7"/>
    <w:rsid w:val="0035500C"/>
    <w:rsid w:val="00355C87"/>
    <w:rsid w:val="003607DD"/>
    <w:rsid w:val="00361067"/>
    <w:rsid w:val="003646F2"/>
    <w:rsid w:val="00376D28"/>
    <w:rsid w:val="003825B3"/>
    <w:rsid w:val="00385CDB"/>
    <w:rsid w:val="0038743C"/>
    <w:rsid w:val="003900D0"/>
    <w:rsid w:val="003923A1"/>
    <w:rsid w:val="003B36F3"/>
    <w:rsid w:val="003C01C5"/>
    <w:rsid w:val="003C2827"/>
    <w:rsid w:val="003C47AC"/>
    <w:rsid w:val="003C7674"/>
    <w:rsid w:val="003D539F"/>
    <w:rsid w:val="003E0BB9"/>
    <w:rsid w:val="003E424D"/>
    <w:rsid w:val="003E748C"/>
    <w:rsid w:val="003F031F"/>
    <w:rsid w:val="003F5F8D"/>
    <w:rsid w:val="00420DE0"/>
    <w:rsid w:val="0043097F"/>
    <w:rsid w:val="004314AE"/>
    <w:rsid w:val="0043260C"/>
    <w:rsid w:val="00432689"/>
    <w:rsid w:val="00434264"/>
    <w:rsid w:val="00441B2E"/>
    <w:rsid w:val="00442FD5"/>
    <w:rsid w:val="0045181A"/>
    <w:rsid w:val="00454D7D"/>
    <w:rsid w:val="00460E50"/>
    <w:rsid w:val="0046353E"/>
    <w:rsid w:val="00464E40"/>
    <w:rsid w:val="004668CD"/>
    <w:rsid w:val="00472D02"/>
    <w:rsid w:val="0048003D"/>
    <w:rsid w:val="004945CC"/>
    <w:rsid w:val="004A1A82"/>
    <w:rsid w:val="004B2589"/>
    <w:rsid w:val="004B6B63"/>
    <w:rsid w:val="004C1641"/>
    <w:rsid w:val="004C6A15"/>
    <w:rsid w:val="004E233B"/>
    <w:rsid w:val="004E3839"/>
    <w:rsid w:val="004E522F"/>
    <w:rsid w:val="004E6940"/>
    <w:rsid w:val="004F41E8"/>
    <w:rsid w:val="004F44B9"/>
    <w:rsid w:val="004F5565"/>
    <w:rsid w:val="00502DD1"/>
    <w:rsid w:val="00512732"/>
    <w:rsid w:val="0051396D"/>
    <w:rsid w:val="00516203"/>
    <w:rsid w:val="005212E3"/>
    <w:rsid w:val="005227FD"/>
    <w:rsid w:val="00524C88"/>
    <w:rsid w:val="005414F9"/>
    <w:rsid w:val="00542A12"/>
    <w:rsid w:val="005527EC"/>
    <w:rsid w:val="00556FC8"/>
    <w:rsid w:val="005660B5"/>
    <w:rsid w:val="00571454"/>
    <w:rsid w:val="00572405"/>
    <w:rsid w:val="00591DE3"/>
    <w:rsid w:val="00592215"/>
    <w:rsid w:val="005A26C9"/>
    <w:rsid w:val="005A37D1"/>
    <w:rsid w:val="005B3469"/>
    <w:rsid w:val="005B4E82"/>
    <w:rsid w:val="005C3380"/>
    <w:rsid w:val="005C5E62"/>
    <w:rsid w:val="005C6206"/>
    <w:rsid w:val="005C6800"/>
    <w:rsid w:val="005D4C00"/>
    <w:rsid w:val="005E3AE5"/>
    <w:rsid w:val="005E693A"/>
    <w:rsid w:val="005E7EEE"/>
    <w:rsid w:val="005F5130"/>
    <w:rsid w:val="00604353"/>
    <w:rsid w:val="00616EA8"/>
    <w:rsid w:val="00643758"/>
    <w:rsid w:val="00645772"/>
    <w:rsid w:val="00646793"/>
    <w:rsid w:val="006472AC"/>
    <w:rsid w:val="00651AED"/>
    <w:rsid w:val="00671385"/>
    <w:rsid w:val="00671B5B"/>
    <w:rsid w:val="00672CF3"/>
    <w:rsid w:val="00673189"/>
    <w:rsid w:val="006768EA"/>
    <w:rsid w:val="0068362C"/>
    <w:rsid w:val="006846AD"/>
    <w:rsid w:val="00684B5B"/>
    <w:rsid w:val="00686CA5"/>
    <w:rsid w:val="0069228F"/>
    <w:rsid w:val="00692751"/>
    <w:rsid w:val="00693D00"/>
    <w:rsid w:val="00694031"/>
    <w:rsid w:val="006A0B00"/>
    <w:rsid w:val="006B00BB"/>
    <w:rsid w:val="006B02CD"/>
    <w:rsid w:val="006C373D"/>
    <w:rsid w:val="006C638F"/>
    <w:rsid w:val="006D3463"/>
    <w:rsid w:val="006E4FF0"/>
    <w:rsid w:val="006F1368"/>
    <w:rsid w:val="006F6C07"/>
    <w:rsid w:val="006F7A50"/>
    <w:rsid w:val="007012FF"/>
    <w:rsid w:val="0070230A"/>
    <w:rsid w:val="007064D3"/>
    <w:rsid w:val="00707A1A"/>
    <w:rsid w:val="00713CD7"/>
    <w:rsid w:val="00713D0C"/>
    <w:rsid w:val="007209FA"/>
    <w:rsid w:val="00724AEF"/>
    <w:rsid w:val="00730683"/>
    <w:rsid w:val="00731AAA"/>
    <w:rsid w:val="00741F22"/>
    <w:rsid w:val="00745890"/>
    <w:rsid w:val="00746906"/>
    <w:rsid w:val="00746988"/>
    <w:rsid w:val="00751A3C"/>
    <w:rsid w:val="00770C62"/>
    <w:rsid w:val="00772E23"/>
    <w:rsid w:val="0078186E"/>
    <w:rsid w:val="00781BB0"/>
    <w:rsid w:val="007855F2"/>
    <w:rsid w:val="00792810"/>
    <w:rsid w:val="00792E00"/>
    <w:rsid w:val="00794A7C"/>
    <w:rsid w:val="007A185F"/>
    <w:rsid w:val="007A2B22"/>
    <w:rsid w:val="007A4271"/>
    <w:rsid w:val="007A43CF"/>
    <w:rsid w:val="007B01BE"/>
    <w:rsid w:val="007B1C61"/>
    <w:rsid w:val="007B49F9"/>
    <w:rsid w:val="007C1E54"/>
    <w:rsid w:val="007C5910"/>
    <w:rsid w:val="007C5DA4"/>
    <w:rsid w:val="007D2F99"/>
    <w:rsid w:val="007E4920"/>
    <w:rsid w:val="007E515F"/>
    <w:rsid w:val="007E6795"/>
    <w:rsid w:val="007F0FF5"/>
    <w:rsid w:val="007F333C"/>
    <w:rsid w:val="007F69DC"/>
    <w:rsid w:val="00802104"/>
    <w:rsid w:val="0080489E"/>
    <w:rsid w:val="00806F6E"/>
    <w:rsid w:val="00820807"/>
    <w:rsid w:val="00820DFE"/>
    <w:rsid w:val="00822CC4"/>
    <w:rsid w:val="0082457D"/>
    <w:rsid w:val="00825C38"/>
    <w:rsid w:val="00827740"/>
    <w:rsid w:val="00831E79"/>
    <w:rsid w:val="008335F7"/>
    <w:rsid w:val="00834206"/>
    <w:rsid w:val="00844D7A"/>
    <w:rsid w:val="008468C1"/>
    <w:rsid w:val="00850CF4"/>
    <w:rsid w:val="00850D0F"/>
    <w:rsid w:val="00857F9D"/>
    <w:rsid w:val="0086247F"/>
    <w:rsid w:val="00874D31"/>
    <w:rsid w:val="00880FA6"/>
    <w:rsid w:val="00882344"/>
    <w:rsid w:val="00892BC9"/>
    <w:rsid w:val="008B19DB"/>
    <w:rsid w:val="008C139D"/>
    <w:rsid w:val="008C1CFC"/>
    <w:rsid w:val="008C4F40"/>
    <w:rsid w:val="008C686A"/>
    <w:rsid w:val="008C6C34"/>
    <w:rsid w:val="008D4936"/>
    <w:rsid w:val="008D5623"/>
    <w:rsid w:val="008D6A6A"/>
    <w:rsid w:val="008D7BC7"/>
    <w:rsid w:val="008E18D1"/>
    <w:rsid w:val="008E33E8"/>
    <w:rsid w:val="008F6D9F"/>
    <w:rsid w:val="009006A8"/>
    <w:rsid w:val="009019AC"/>
    <w:rsid w:val="009036E9"/>
    <w:rsid w:val="00914B6D"/>
    <w:rsid w:val="00917439"/>
    <w:rsid w:val="009220D7"/>
    <w:rsid w:val="00925F6D"/>
    <w:rsid w:val="00926F7D"/>
    <w:rsid w:val="00937260"/>
    <w:rsid w:val="00940F66"/>
    <w:rsid w:val="00952DC2"/>
    <w:rsid w:val="00960706"/>
    <w:rsid w:val="00981F15"/>
    <w:rsid w:val="009839E7"/>
    <w:rsid w:val="009862DF"/>
    <w:rsid w:val="0098671E"/>
    <w:rsid w:val="00991111"/>
    <w:rsid w:val="00991901"/>
    <w:rsid w:val="00996BB3"/>
    <w:rsid w:val="009B4FD2"/>
    <w:rsid w:val="009B7DFA"/>
    <w:rsid w:val="009C6949"/>
    <w:rsid w:val="009D229C"/>
    <w:rsid w:val="009D6DC3"/>
    <w:rsid w:val="009D715C"/>
    <w:rsid w:val="009D7668"/>
    <w:rsid w:val="009E2AEB"/>
    <w:rsid w:val="009F7C95"/>
    <w:rsid w:val="00A06A63"/>
    <w:rsid w:val="00A11669"/>
    <w:rsid w:val="00A14CBC"/>
    <w:rsid w:val="00A324FE"/>
    <w:rsid w:val="00A36DB9"/>
    <w:rsid w:val="00A40131"/>
    <w:rsid w:val="00A532E7"/>
    <w:rsid w:val="00A55083"/>
    <w:rsid w:val="00A56FD2"/>
    <w:rsid w:val="00A60EBE"/>
    <w:rsid w:val="00A639C6"/>
    <w:rsid w:val="00A673C0"/>
    <w:rsid w:val="00A70BBE"/>
    <w:rsid w:val="00A71616"/>
    <w:rsid w:val="00A72444"/>
    <w:rsid w:val="00A81B3A"/>
    <w:rsid w:val="00A8369F"/>
    <w:rsid w:val="00A84150"/>
    <w:rsid w:val="00A92BE0"/>
    <w:rsid w:val="00A96CD7"/>
    <w:rsid w:val="00AA5A9E"/>
    <w:rsid w:val="00AB3F6E"/>
    <w:rsid w:val="00AB5BBF"/>
    <w:rsid w:val="00AB6AF1"/>
    <w:rsid w:val="00AC026B"/>
    <w:rsid w:val="00AC6142"/>
    <w:rsid w:val="00AD26E6"/>
    <w:rsid w:val="00AD792F"/>
    <w:rsid w:val="00AE1D16"/>
    <w:rsid w:val="00AE4230"/>
    <w:rsid w:val="00AE5A85"/>
    <w:rsid w:val="00AE7072"/>
    <w:rsid w:val="00AF202B"/>
    <w:rsid w:val="00B013C4"/>
    <w:rsid w:val="00B11B7F"/>
    <w:rsid w:val="00B11D55"/>
    <w:rsid w:val="00B16767"/>
    <w:rsid w:val="00B16D76"/>
    <w:rsid w:val="00B170A8"/>
    <w:rsid w:val="00B17645"/>
    <w:rsid w:val="00B20653"/>
    <w:rsid w:val="00B22A43"/>
    <w:rsid w:val="00B2621D"/>
    <w:rsid w:val="00B2634E"/>
    <w:rsid w:val="00B2758E"/>
    <w:rsid w:val="00B310FB"/>
    <w:rsid w:val="00B3126B"/>
    <w:rsid w:val="00B34AD2"/>
    <w:rsid w:val="00B426DE"/>
    <w:rsid w:val="00B44F48"/>
    <w:rsid w:val="00B46F1B"/>
    <w:rsid w:val="00B52087"/>
    <w:rsid w:val="00B53058"/>
    <w:rsid w:val="00B55691"/>
    <w:rsid w:val="00B55BA2"/>
    <w:rsid w:val="00B573B9"/>
    <w:rsid w:val="00B61938"/>
    <w:rsid w:val="00B63716"/>
    <w:rsid w:val="00B64CF6"/>
    <w:rsid w:val="00B66085"/>
    <w:rsid w:val="00B71516"/>
    <w:rsid w:val="00B7255D"/>
    <w:rsid w:val="00B7562E"/>
    <w:rsid w:val="00B8076A"/>
    <w:rsid w:val="00BA1456"/>
    <w:rsid w:val="00BA7BB0"/>
    <w:rsid w:val="00BB0E45"/>
    <w:rsid w:val="00BB12BA"/>
    <w:rsid w:val="00BB15A1"/>
    <w:rsid w:val="00BB64BE"/>
    <w:rsid w:val="00BD0243"/>
    <w:rsid w:val="00BD3F6D"/>
    <w:rsid w:val="00BE502D"/>
    <w:rsid w:val="00BF7F90"/>
    <w:rsid w:val="00C01AB7"/>
    <w:rsid w:val="00C04784"/>
    <w:rsid w:val="00C0580F"/>
    <w:rsid w:val="00C10C38"/>
    <w:rsid w:val="00C1140D"/>
    <w:rsid w:val="00C1153B"/>
    <w:rsid w:val="00C153A1"/>
    <w:rsid w:val="00C2460F"/>
    <w:rsid w:val="00C258F1"/>
    <w:rsid w:val="00C30E52"/>
    <w:rsid w:val="00C34EFC"/>
    <w:rsid w:val="00C40800"/>
    <w:rsid w:val="00C41341"/>
    <w:rsid w:val="00C431FC"/>
    <w:rsid w:val="00C47C94"/>
    <w:rsid w:val="00C50093"/>
    <w:rsid w:val="00C529B3"/>
    <w:rsid w:val="00C55E8D"/>
    <w:rsid w:val="00C568D9"/>
    <w:rsid w:val="00C60AAD"/>
    <w:rsid w:val="00C6249C"/>
    <w:rsid w:val="00C76187"/>
    <w:rsid w:val="00C82555"/>
    <w:rsid w:val="00CA1FD7"/>
    <w:rsid w:val="00CA4FF2"/>
    <w:rsid w:val="00CA5D69"/>
    <w:rsid w:val="00CB4321"/>
    <w:rsid w:val="00CB7A32"/>
    <w:rsid w:val="00CB7A79"/>
    <w:rsid w:val="00CC03F3"/>
    <w:rsid w:val="00CD2D79"/>
    <w:rsid w:val="00CD5665"/>
    <w:rsid w:val="00CD790A"/>
    <w:rsid w:val="00CE0D8E"/>
    <w:rsid w:val="00CE3C76"/>
    <w:rsid w:val="00CE463C"/>
    <w:rsid w:val="00CE7B69"/>
    <w:rsid w:val="00CF22F9"/>
    <w:rsid w:val="00CF2FA8"/>
    <w:rsid w:val="00CF4D1E"/>
    <w:rsid w:val="00CF6780"/>
    <w:rsid w:val="00CF6C93"/>
    <w:rsid w:val="00D02164"/>
    <w:rsid w:val="00D02F98"/>
    <w:rsid w:val="00D079EB"/>
    <w:rsid w:val="00D20917"/>
    <w:rsid w:val="00D23EDE"/>
    <w:rsid w:val="00D24B48"/>
    <w:rsid w:val="00D24D38"/>
    <w:rsid w:val="00D32D70"/>
    <w:rsid w:val="00D43C87"/>
    <w:rsid w:val="00D444E5"/>
    <w:rsid w:val="00D46F76"/>
    <w:rsid w:val="00D51015"/>
    <w:rsid w:val="00D526FB"/>
    <w:rsid w:val="00D549A8"/>
    <w:rsid w:val="00D623B1"/>
    <w:rsid w:val="00D630A6"/>
    <w:rsid w:val="00D63FDF"/>
    <w:rsid w:val="00D667CC"/>
    <w:rsid w:val="00D67CAA"/>
    <w:rsid w:val="00D70FC6"/>
    <w:rsid w:val="00D71B2B"/>
    <w:rsid w:val="00D753FF"/>
    <w:rsid w:val="00D761CA"/>
    <w:rsid w:val="00D76A25"/>
    <w:rsid w:val="00D77CBB"/>
    <w:rsid w:val="00D82A3C"/>
    <w:rsid w:val="00D82D4C"/>
    <w:rsid w:val="00D84756"/>
    <w:rsid w:val="00D85A43"/>
    <w:rsid w:val="00D86FC4"/>
    <w:rsid w:val="00DB3935"/>
    <w:rsid w:val="00DB3D7F"/>
    <w:rsid w:val="00DB70BF"/>
    <w:rsid w:val="00DC7E93"/>
    <w:rsid w:val="00DD0C17"/>
    <w:rsid w:val="00DD531D"/>
    <w:rsid w:val="00DD6FC7"/>
    <w:rsid w:val="00DE09A0"/>
    <w:rsid w:val="00DE2913"/>
    <w:rsid w:val="00DE56A6"/>
    <w:rsid w:val="00DE6E78"/>
    <w:rsid w:val="00DE75C8"/>
    <w:rsid w:val="00DF2E66"/>
    <w:rsid w:val="00E01BE0"/>
    <w:rsid w:val="00E01CD7"/>
    <w:rsid w:val="00E0220B"/>
    <w:rsid w:val="00E1017F"/>
    <w:rsid w:val="00E11C2E"/>
    <w:rsid w:val="00E15AA9"/>
    <w:rsid w:val="00E16227"/>
    <w:rsid w:val="00E172DC"/>
    <w:rsid w:val="00E2319F"/>
    <w:rsid w:val="00E31409"/>
    <w:rsid w:val="00E322F2"/>
    <w:rsid w:val="00E342E6"/>
    <w:rsid w:val="00E419A4"/>
    <w:rsid w:val="00E4764F"/>
    <w:rsid w:val="00E561D5"/>
    <w:rsid w:val="00E56EB8"/>
    <w:rsid w:val="00E75289"/>
    <w:rsid w:val="00E75732"/>
    <w:rsid w:val="00E80106"/>
    <w:rsid w:val="00E8098F"/>
    <w:rsid w:val="00E856F3"/>
    <w:rsid w:val="00E905C2"/>
    <w:rsid w:val="00E92240"/>
    <w:rsid w:val="00E9453F"/>
    <w:rsid w:val="00E96089"/>
    <w:rsid w:val="00E9687C"/>
    <w:rsid w:val="00E969BF"/>
    <w:rsid w:val="00E97A3C"/>
    <w:rsid w:val="00EA12EF"/>
    <w:rsid w:val="00EA36A9"/>
    <w:rsid w:val="00EA3CAE"/>
    <w:rsid w:val="00EA3D33"/>
    <w:rsid w:val="00EA6126"/>
    <w:rsid w:val="00EB6A1D"/>
    <w:rsid w:val="00EC3674"/>
    <w:rsid w:val="00EC691F"/>
    <w:rsid w:val="00EC69BD"/>
    <w:rsid w:val="00ED3F2E"/>
    <w:rsid w:val="00ED5BB3"/>
    <w:rsid w:val="00EE09F0"/>
    <w:rsid w:val="00EE26C9"/>
    <w:rsid w:val="00EF2523"/>
    <w:rsid w:val="00EF4186"/>
    <w:rsid w:val="00EF47CE"/>
    <w:rsid w:val="00EF7DA8"/>
    <w:rsid w:val="00F06271"/>
    <w:rsid w:val="00F0755F"/>
    <w:rsid w:val="00F13AB6"/>
    <w:rsid w:val="00F238CE"/>
    <w:rsid w:val="00F32EE4"/>
    <w:rsid w:val="00F41DBE"/>
    <w:rsid w:val="00F54307"/>
    <w:rsid w:val="00F547BF"/>
    <w:rsid w:val="00F65BDF"/>
    <w:rsid w:val="00F80EE2"/>
    <w:rsid w:val="00F97541"/>
    <w:rsid w:val="00FA3500"/>
    <w:rsid w:val="00FA382E"/>
    <w:rsid w:val="00FB1C7F"/>
    <w:rsid w:val="00FC16E8"/>
    <w:rsid w:val="00FC5C13"/>
    <w:rsid w:val="00FD44CB"/>
    <w:rsid w:val="00FE026A"/>
    <w:rsid w:val="00FE34F4"/>
    <w:rsid w:val="00FF0962"/>
    <w:rsid w:val="00FF5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2262358"/>
  <w15:docId w15:val="{8D9FD268-B0BF-49D3-B752-FED7D1C803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PMingLiU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99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A57698"/>
    <w:pPr>
      <w:widowControl w:val="0"/>
      <w:spacing w:before="30"/>
    </w:pPr>
    <w:rPr>
      <w:rFonts w:ascii="Calibri" w:eastAsia="Calibri" w:hAnsi="Calibri" w:cs="Calibri"/>
      <w:kern w:val="2"/>
      <w:sz w:val="24"/>
      <w:szCs w:val="24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Siln">
    <w:name w:val="Strong"/>
    <w:uiPriority w:val="99"/>
    <w:qFormat/>
    <w:rsid w:val="001A0B7F"/>
    <w:rPr>
      <w:b/>
      <w:bCs/>
    </w:rPr>
  </w:style>
  <w:style w:type="character" w:styleId="Hypertextovodkaz">
    <w:name w:val="Hyperlink"/>
    <w:rsid w:val="00834206"/>
    <w:rPr>
      <w:color w:val="EA0A2A"/>
      <w:u w:val="single"/>
    </w:rPr>
  </w:style>
  <w:style w:type="paragraph" w:styleId="Textbubliny">
    <w:name w:val="Balloon Text"/>
    <w:basedOn w:val="Normln"/>
    <w:semiHidden/>
    <w:rsid w:val="007A0F9A"/>
    <w:rPr>
      <w:rFonts w:ascii="Tahoma" w:hAnsi="Tahoma" w:cs="Tahoma"/>
      <w:sz w:val="16"/>
      <w:szCs w:val="16"/>
    </w:rPr>
  </w:style>
  <w:style w:type="paragraph" w:customStyle="1" w:styleId="MainHeadline">
    <w:name w:val="Main Headline"/>
    <w:basedOn w:val="Normln"/>
    <w:next w:val="Sub-Headline"/>
    <w:rsid w:val="002949F4"/>
    <w:pPr>
      <w:spacing w:before="0"/>
    </w:pPr>
    <w:rPr>
      <w:rFonts w:ascii="Arial" w:eastAsia="Arial" w:hAnsi="Arial" w:cs="Arial"/>
      <w:b/>
      <w:bCs/>
      <w:iCs/>
      <w:sz w:val="28"/>
      <w:szCs w:val="28"/>
    </w:rPr>
  </w:style>
  <w:style w:type="paragraph" w:customStyle="1" w:styleId="Sub-Headline">
    <w:name w:val="Sub-Headline"/>
    <w:basedOn w:val="Normln"/>
    <w:next w:val="Normln"/>
    <w:uiPriority w:val="99"/>
    <w:rsid w:val="00ED794A"/>
    <w:pPr>
      <w:shd w:val="clear" w:color="auto" w:fill="FFFFFF"/>
      <w:spacing w:before="100" w:after="100"/>
    </w:pPr>
    <w:rPr>
      <w:rFonts w:ascii="Arial" w:eastAsia="Arial" w:hAnsi="Arial" w:cs="PMingLiU"/>
      <w:i/>
      <w:iCs/>
      <w:color w:val="000000"/>
      <w:szCs w:val="20"/>
    </w:rPr>
  </w:style>
  <w:style w:type="paragraph" w:customStyle="1" w:styleId="pCompanyProfilo">
    <w:name w:val="p_CompanyProfilo"/>
    <w:basedOn w:val="Normln"/>
    <w:rsid w:val="001A7458"/>
    <w:pPr>
      <w:jc w:val="both"/>
    </w:pPr>
    <w:rPr>
      <w:rFonts w:cs="PMingLiU"/>
    </w:rPr>
  </w:style>
  <w:style w:type="paragraph" w:customStyle="1" w:styleId="Endnote">
    <w:name w:val="End note"/>
    <w:basedOn w:val="Normln"/>
    <w:rsid w:val="001A7458"/>
    <w:pPr>
      <w:jc w:val="center"/>
    </w:pPr>
    <w:rPr>
      <w:rFonts w:cs="PMingLiU"/>
      <w:szCs w:val="20"/>
    </w:rPr>
  </w:style>
  <w:style w:type="paragraph" w:customStyle="1" w:styleId="ContactInformation">
    <w:name w:val="ContactInformation"/>
    <w:basedOn w:val="Normln"/>
    <w:rsid w:val="00B364E3"/>
    <w:pPr>
      <w:spacing w:before="0"/>
    </w:pPr>
    <w:rPr>
      <w:rFonts w:cs="PMingLiU"/>
    </w:rPr>
  </w:style>
  <w:style w:type="character" w:customStyle="1" w:styleId="xn-location">
    <w:name w:val="xn-location"/>
    <w:basedOn w:val="Standardnpsmoodstavce"/>
    <w:rsid w:val="005B595A"/>
  </w:style>
  <w:style w:type="character" w:customStyle="1" w:styleId="xn-chron">
    <w:name w:val="xn-chron"/>
    <w:basedOn w:val="Standardnpsmoodstavce"/>
    <w:rsid w:val="005B595A"/>
  </w:style>
  <w:style w:type="paragraph" w:styleId="Zhlav">
    <w:name w:val="header"/>
    <w:basedOn w:val="Normln"/>
    <w:rsid w:val="0007234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Zpat">
    <w:name w:val="footer"/>
    <w:basedOn w:val="Normln"/>
    <w:link w:val="ZpatChar"/>
    <w:uiPriority w:val="99"/>
    <w:rsid w:val="0007234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table" w:styleId="Mkatabulky">
    <w:name w:val="Table Grid"/>
    <w:basedOn w:val="Normlntabulka"/>
    <w:rsid w:val="00241C8E"/>
    <w:pPr>
      <w:widowControl w:val="0"/>
      <w:spacing w:before="3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lnweb">
    <w:name w:val="Normal (Web)"/>
    <w:basedOn w:val="Normln"/>
    <w:uiPriority w:val="99"/>
    <w:rsid w:val="0083158A"/>
    <w:pPr>
      <w:widowControl/>
      <w:spacing w:before="100" w:beforeAutospacing="1" w:after="100" w:afterAutospacing="1"/>
    </w:pPr>
    <w:rPr>
      <w:rFonts w:ascii="PMingLiU" w:eastAsia="PMingLiU" w:hAnsi="PMingLiU" w:cs="PMingLiU"/>
    </w:rPr>
  </w:style>
  <w:style w:type="character" w:customStyle="1" w:styleId="adatat10pathnow1">
    <w:name w:val="adata_t10_path_now1"/>
    <w:rsid w:val="00581E0E"/>
    <w:rPr>
      <w:rFonts w:ascii="Arial" w:hAnsi="Arial" w:cs="Arial" w:hint="default"/>
      <w:color w:val="02328D"/>
      <w:spacing w:val="0"/>
      <w:sz w:val="15"/>
      <w:szCs w:val="15"/>
    </w:rPr>
  </w:style>
  <w:style w:type="character" w:customStyle="1" w:styleId="apple-converted-space">
    <w:name w:val="apple-converted-space"/>
    <w:basedOn w:val="Standardnpsmoodstavce"/>
    <w:rsid w:val="00CE04EB"/>
  </w:style>
  <w:style w:type="character" w:styleId="Sledovanodkaz">
    <w:name w:val="FollowedHyperlink"/>
    <w:rsid w:val="007E1A5C"/>
    <w:rPr>
      <w:color w:val="800080"/>
      <w:u w:val="single"/>
    </w:rPr>
  </w:style>
  <w:style w:type="character" w:customStyle="1" w:styleId="apple-style-span">
    <w:name w:val="apple-style-span"/>
    <w:basedOn w:val="Standardnpsmoodstavce"/>
    <w:rsid w:val="005C2E97"/>
  </w:style>
  <w:style w:type="paragraph" w:styleId="Odstavecseseznamem">
    <w:name w:val="List Paragraph"/>
    <w:basedOn w:val="Normln"/>
    <w:uiPriority w:val="34"/>
    <w:qFormat/>
    <w:rsid w:val="00B42B27"/>
    <w:pPr>
      <w:widowControl/>
      <w:spacing w:before="0"/>
      <w:ind w:leftChars="200" w:left="480"/>
    </w:pPr>
    <w:rPr>
      <w:rFonts w:ascii="PMingLiU" w:eastAsia="PMingLiU" w:hAnsi="PMingLiU" w:cs="PMingLiU"/>
    </w:rPr>
  </w:style>
  <w:style w:type="character" w:styleId="Odkaznakoment">
    <w:name w:val="annotation reference"/>
    <w:rsid w:val="00973DED"/>
    <w:rPr>
      <w:sz w:val="18"/>
      <w:szCs w:val="18"/>
    </w:rPr>
  </w:style>
  <w:style w:type="paragraph" w:styleId="Textkomente">
    <w:name w:val="annotation text"/>
    <w:basedOn w:val="Normln"/>
    <w:link w:val="TextkomenteChar"/>
    <w:rsid w:val="00973DED"/>
  </w:style>
  <w:style w:type="character" w:customStyle="1" w:styleId="TextkomenteChar">
    <w:name w:val="Text komentáře Char"/>
    <w:link w:val="Textkomente"/>
    <w:rsid w:val="00973DED"/>
    <w:rPr>
      <w:rFonts w:ascii="Calibri" w:eastAsia="Calibri" w:hAnsi="Calibri" w:cs="Calibri"/>
      <w:kern w:val="2"/>
      <w:sz w:val="24"/>
      <w:szCs w:val="24"/>
    </w:rPr>
  </w:style>
  <w:style w:type="paragraph" w:styleId="Pedmtkomente">
    <w:name w:val="annotation subject"/>
    <w:basedOn w:val="Textkomente"/>
    <w:next w:val="Textkomente"/>
    <w:link w:val="PedmtkomenteChar"/>
    <w:rsid w:val="00973DED"/>
    <w:rPr>
      <w:b/>
      <w:bCs/>
    </w:rPr>
  </w:style>
  <w:style w:type="character" w:customStyle="1" w:styleId="PedmtkomenteChar">
    <w:name w:val="Předmět komentáře Char"/>
    <w:link w:val="Pedmtkomente"/>
    <w:rsid w:val="00973DED"/>
    <w:rPr>
      <w:rFonts w:ascii="Calibri" w:eastAsia="Calibri" w:hAnsi="Calibri" w:cs="Calibri"/>
      <w:b/>
      <w:bCs/>
      <w:kern w:val="2"/>
      <w:sz w:val="24"/>
      <w:szCs w:val="24"/>
    </w:rPr>
  </w:style>
  <w:style w:type="character" w:customStyle="1" w:styleId="st1">
    <w:name w:val="st1"/>
    <w:rsid w:val="001E757D"/>
  </w:style>
  <w:style w:type="character" w:styleId="Nevyeenzmnka">
    <w:name w:val="Unresolved Mention"/>
    <w:basedOn w:val="Standardnpsmoodstavce"/>
    <w:uiPriority w:val="99"/>
    <w:semiHidden/>
    <w:unhideWhenUsed/>
    <w:rsid w:val="008F6D9F"/>
    <w:rPr>
      <w:color w:val="605E5C"/>
      <w:shd w:val="clear" w:color="auto" w:fill="E1DFDD"/>
    </w:rPr>
  </w:style>
  <w:style w:type="character" w:customStyle="1" w:styleId="ZpatChar">
    <w:name w:val="Zápatí Char"/>
    <w:basedOn w:val="Standardnpsmoodstavce"/>
    <w:link w:val="Zpat"/>
    <w:uiPriority w:val="99"/>
    <w:rsid w:val="008F6D9F"/>
    <w:rPr>
      <w:rFonts w:ascii="Calibri" w:eastAsia="Calibri" w:hAnsi="Calibri" w:cs="Calibri"/>
      <w:kern w:val="2"/>
    </w:rPr>
  </w:style>
  <w:style w:type="paragraph" w:styleId="Revize">
    <w:name w:val="Revision"/>
    <w:hidden/>
    <w:uiPriority w:val="99"/>
    <w:semiHidden/>
    <w:rsid w:val="002C0319"/>
    <w:rPr>
      <w:rFonts w:ascii="Calibri" w:eastAsia="Calibri" w:hAnsi="Calibri" w:cs="Calibri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96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01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85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74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69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72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24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23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48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7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80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77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xpg.com/cz/xpg/solid-state-drive-spectrix-s65g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://www.xpg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xpg.com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7D1E8F-79AB-444F-A3D2-CEFBBEEA8D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536</Words>
  <Characters>3169</Characters>
  <Application>Microsoft Office Word</Application>
  <DocSecurity>0</DocSecurity>
  <Lines>26</Lines>
  <Paragraphs>7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XPG Press Release</vt:lpstr>
      <vt:lpstr>ADATA Unveils XPG Gaming Series V2</vt:lpstr>
    </vt:vector>
  </TitlesOfParts>
  <Company>ADATA</Company>
  <LinksUpToDate>false</LinksUpToDate>
  <CharactersWithSpaces>3698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XPG Press Release</dc:title>
  <dc:creator>Grunex</dc:creator>
  <cp:keywords>XPG</cp:keywords>
  <cp:lastModifiedBy>Václav Kotyk</cp:lastModifiedBy>
  <cp:revision>8</cp:revision>
  <cp:lastPrinted>2014-06-12T05:52:00Z</cp:lastPrinted>
  <dcterms:created xsi:type="dcterms:W3CDTF">2025-08-11T12:38:00Z</dcterms:created>
  <dcterms:modified xsi:type="dcterms:W3CDTF">2025-08-24T11:52:00Z</dcterms:modified>
</cp:coreProperties>
</file>