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AD6E" w14:textId="77777777" w:rsidR="007945B3" w:rsidRDefault="007945B3" w:rsidP="008F6D9F">
      <w:pPr>
        <w:kinsoku w:val="0"/>
        <w:spacing w:before="0" w:after="120"/>
        <w:jc w:val="center"/>
        <w:rPr>
          <w:rFonts w:ascii="Arial" w:hAnsi="Arial" w:cs="Arial"/>
          <w:b/>
          <w:bCs/>
          <w:kern w:val="0"/>
          <w:sz w:val="28"/>
          <w:szCs w:val="28"/>
          <w:lang w:val="cs-CZ"/>
        </w:rPr>
      </w:pPr>
    </w:p>
    <w:p w14:paraId="6D48394A" w14:textId="62EB6E9F" w:rsidR="00F13AB6" w:rsidRPr="00263AD6" w:rsidRDefault="008630E6" w:rsidP="008F6D9F">
      <w:pPr>
        <w:kinsoku w:val="0"/>
        <w:spacing w:before="0" w:after="120"/>
        <w:jc w:val="center"/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</w:pPr>
      <w:bookmarkStart w:id="0" w:name="_Hlk218603875"/>
      <w:bookmarkStart w:id="1" w:name="_Hlk200011200"/>
      <w:bookmarkStart w:id="2" w:name="_Hlk180573218"/>
      <w:bookmarkStart w:id="3" w:name="_Hlk175996434"/>
      <w:r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  <w:t>Spol</w:t>
      </w:r>
      <w:r w:rsidR="00D40618"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  <w:t>e</w:t>
      </w:r>
      <w:r>
        <w:rPr>
          <w:rFonts w:asciiTheme="minorHAnsi" w:hAnsiTheme="minorHAnsi" w:cstheme="minorHAnsi"/>
          <w:b/>
          <w:bCs/>
          <w:kern w:val="0"/>
          <w:sz w:val="28"/>
          <w:szCs w:val="28"/>
          <w:lang w:val="cs-CZ"/>
        </w:rPr>
        <w:t>čnost ADATA slaví 25. výročí</w:t>
      </w:r>
    </w:p>
    <w:p w14:paraId="1240F1B4" w14:textId="6A3380E4" w:rsidR="0035211F" w:rsidRPr="00263AD6" w:rsidRDefault="0035211F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</w:pPr>
      <w:proofErr w:type="spellStart"/>
      <w:r w:rsidRPr="00263AD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Taipei</w:t>
      </w:r>
      <w:proofErr w:type="spellEnd"/>
      <w:r w:rsidRPr="00263AD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 xml:space="preserve">, Taiwan, </w:t>
      </w:r>
      <w:r w:rsidR="001C0FAB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13</w:t>
      </w:r>
      <w:r w:rsidRPr="00263AD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 xml:space="preserve">. </w:t>
      </w:r>
      <w:r w:rsidR="008630E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5</w:t>
      </w:r>
      <w:r w:rsidRPr="00263AD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. 202</w:t>
      </w:r>
      <w:r w:rsidR="00614A86" w:rsidRPr="00263AD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cs-CZ" w:eastAsia="zh-CN"/>
        </w:rPr>
        <w:t>6</w:t>
      </w:r>
      <w:r w:rsidRPr="00263AD6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 xml:space="preserve"> – Společnost ADATA, přední světový výrobce pamětí DRAM, SSD disků a dalších typů úložišť, </w:t>
      </w:r>
      <w:r w:rsidR="008630E6">
        <w:rPr>
          <w:rFonts w:asciiTheme="minorHAnsi" w:eastAsia="Times New Roman" w:hAnsiTheme="minorHAnsi" w:cstheme="minorHAnsi"/>
          <w:i/>
          <w:iCs/>
          <w:sz w:val="22"/>
          <w:szCs w:val="22"/>
          <w:lang w:val="cs-CZ" w:eastAsia="zh-CN"/>
        </w:rPr>
        <w:t>upozorňuje na své 25. výročí. V rychle se měnícím světě hardwaru je dlouhá životnost tím nejdůležitějším měřítkem kvality, a proto se ADATA ohlíží za cestou, která proměnila vizionářský startup projekt v globálního giganta. Je to 25 let stability, inovací a neúnavného úsilí o maximální spolehlivost.</w:t>
      </w:r>
    </w:p>
    <w:p w14:paraId="1181901C" w14:textId="4EFA68C4" w:rsidR="000074C9" w:rsidRPr="00263AD6" w:rsidRDefault="008630E6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Neviditelný hrdina digitálního věku</w:t>
      </w:r>
    </w:p>
    <w:p w14:paraId="5835CCC6" w14:textId="304FFC23" w:rsidR="007C1139" w:rsidRDefault="007C1139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Inovace jsou středem pozornosti, ale spolehlivost je to, o co jde v první řadě. Již čtvrt století je ADATA „Neviditelným hrdinou“ stojícím za </w:t>
      </w:r>
      <w:r w:rsidR="00D40618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ambiciózními</w:t>
      </w:r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technologickými pokroky. Ať už jde o napájení profesionálních počítačů nebo ochranu osobních dat.</w:t>
      </w:r>
      <w:r w:rsidR="00DC3684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Aby technologie mohla skutečně něco změnit, musí být především spolehlivá.</w:t>
      </w:r>
    </w:p>
    <w:p w14:paraId="6560B36E" w14:textId="17768DB8" w:rsidR="00DC3684" w:rsidRPr="00DC3684" w:rsidRDefault="00DC3684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</w:pPr>
      <w:r w:rsidRPr="00DC3684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Tradice založená na odborné znalosti</w:t>
      </w:r>
    </w:p>
    <w:p w14:paraId="182F7FC2" w14:textId="6ECF5651" w:rsidR="00DC3684" w:rsidRDefault="00DC3684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Dosažení 25letého milníku je důkazem důvěry, kterou v ADATA partneři a zákazníci každý den vkládají. Technologický vývoj stojí na pilířích špičkové kvality, které změnili pohled na odvětví pamětí:</w:t>
      </w:r>
    </w:p>
    <w:p w14:paraId="675D41B9" w14:textId="5A496FD7" w:rsidR="00DC3684" w:rsidRDefault="00DC3684" w:rsidP="00DC3684">
      <w:pPr>
        <w:pStyle w:val="Odstavecseseznamem"/>
        <w:numPr>
          <w:ilvl w:val="0"/>
          <w:numId w:val="8"/>
        </w:numPr>
        <w:spacing w:after="120"/>
        <w:ind w:leftChars="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1C0FAB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Globální vedoucí postavení a rozsah</w:t>
      </w:r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: </w:t>
      </w:r>
      <w:r w:rsidR="008F616E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ADATA úspěšně prošla transformací vize „</w:t>
      </w:r>
      <w:proofErr w:type="spellStart"/>
      <w:r w:rsidR="008F616E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Going</w:t>
      </w:r>
      <w:proofErr w:type="spellEnd"/>
      <w:r w:rsidR="008F616E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</w:t>
      </w:r>
      <w:proofErr w:type="spellStart"/>
      <w:r w:rsidR="008F616E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Global</w:t>
      </w:r>
      <w:proofErr w:type="spellEnd"/>
      <w:r w:rsidR="008F616E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“ („být světový“ ve volném překladu) a získala pozici druhého největšího výrobce pamětí DRAM a SSD. Toto postavení je výsledkem desetiletí zdokonalování logistiky a přísných kontrolních protokolů</w:t>
      </w:r>
      <w:r w:rsidR="00261264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.</w:t>
      </w:r>
    </w:p>
    <w:p w14:paraId="018F8E94" w14:textId="01FEAB98" w:rsidR="008F616E" w:rsidRDefault="008F616E" w:rsidP="00DC3684">
      <w:pPr>
        <w:pStyle w:val="Odstavecseseznamem"/>
        <w:numPr>
          <w:ilvl w:val="0"/>
          <w:numId w:val="8"/>
        </w:numPr>
        <w:spacing w:after="120"/>
        <w:ind w:leftChars="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1C0FAB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Výkon v DNA značky XPG</w:t>
      </w:r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: V reakci na poptávku po vysokém výkonu uvedla ADATA na trh značku XPG, která posunula hranice herního hardwaru, zatímco zachovala </w:t>
      </w:r>
      <w:r w:rsidR="00261264"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požadovanou stabilitu.</w:t>
      </w:r>
    </w:p>
    <w:p w14:paraId="66CFC286" w14:textId="2F8973B7" w:rsidR="00261264" w:rsidRPr="00DC3684" w:rsidRDefault="00261264" w:rsidP="00DC3684">
      <w:pPr>
        <w:pStyle w:val="Odstavecseseznamem"/>
        <w:numPr>
          <w:ilvl w:val="0"/>
          <w:numId w:val="8"/>
        </w:numPr>
        <w:spacing w:after="120"/>
        <w:ind w:leftChars="0"/>
        <w:jc w:val="both"/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</w:pPr>
      <w:r w:rsidRPr="001C0FAB"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AI průkopník a značka TRUSTA</w:t>
      </w:r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: ADATA využívá svých bohatých 25letých zkušeností v oblasti pamětí pro aktuální AI éru. V rámci programu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Trusta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>Enterprise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val="cs-CZ" w:eastAsia="zh-CN"/>
        </w:rPr>
        <w:t xml:space="preserve"> Era nabízí konkrétní průmyslová řešení, která splňují nejvyšší standardy spolehlivosti pro výpočetní úlohy v oblasti umělé inteligence a pro data kritická pro chod podniku.</w:t>
      </w:r>
    </w:p>
    <w:p w14:paraId="5780F2F4" w14:textId="3476D5BA" w:rsidR="004F0DD1" w:rsidRPr="00263AD6" w:rsidRDefault="00261264" w:rsidP="0035211F">
      <w:pPr>
        <w:widowControl/>
        <w:spacing w:before="0" w:after="1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cs-CZ" w:eastAsia="zh-CN"/>
        </w:rPr>
        <w:t>Miliony vzpomínek, 25 let důvěry</w:t>
      </w:r>
    </w:p>
    <w:bookmarkEnd w:id="0"/>
    <w:bookmarkEnd w:id="1"/>
    <w:p w14:paraId="533F2BD0" w14:textId="49D40B91" w:rsidR="00C75299" w:rsidRPr="00263AD6" w:rsidRDefault="00261264" w:rsidP="00B32D55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Motto společnosti „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Innovate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Inspire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“ je slibem pro příštích 25 let. Spojení špičkové spolehlivosti a moderního designu posunulo ADATA do pozice celosvětového předního výrobce, kterému zákazníci důvěřují. Není to jen oslava 25 let historie, ale 25 let, během kterých byla značka</w:t>
      </w:r>
      <w:r w:rsidR="00152E44">
        <w:rPr>
          <w:rFonts w:asciiTheme="minorHAnsi" w:hAnsiTheme="minorHAnsi" w:cstheme="minorHAnsi"/>
          <w:sz w:val="22"/>
          <w:szCs w:val="22"/>
          <w:lang w:val="cs-CZ"/>
        </w:rPr>
        <w:t xml:space="preserve"> tichým motorem technologických inovací.</w:t>
      </w:r>
    </w:p>
    <w:p w14:paraId="42E3523D" w14:textId="5EC30E8C" w:rsidR="00DA292D" w:rsidRPr="00263AD6" w:rsidRDefault="00152E44" w:rsidP="00B32D55">
      <w:pPr>
        <w:kinsoku w:val="0"/>
        <w:spacing w:before="0"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 ohledem na AI budoucnost výpočetních zařízení a udržitelných úložišť se ADATA i nadále zavazuje poskytovat spolehlivé a inovativní produkty, které budou přinášet nové možnosti.</w:t>
      </w:r>
    </w:p>
    <w:p w14:paraId="7E9F7DA3" w14:textId="77777777" w:rsidR="00263AD6" w:rsidRPr="00263AD6" w:rsidRDefault="00263AD6" w:rsidP="00B32D55">
      <w:pPr>
        <w:kinsoku w:val="0"/>
        <w:spacing w:before="0" w:after="12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bookmarkEnd w:id="2"/>
    <w:bookmarkEnd w:id="3"/>
    <w:p w14:paraId="4772E188" w14:textId="77777777" w:rsidR="00C10C38" w:rsidRPr="008F6D9F" w:rsidRDefault="00C10C38" w:rsidP="008F6D9F">
      <w:pPr>
        <w:kinsoku w:val="0"/>
        <w:spacing w:before="0" w:after="120"/>
        <w:jc w:val="both"/>
        <w:rPr>
          <w:rFonts w:ascii="Arial" w:eastAsia="PMingLiU" w:hAnsi="Arial" w:cs="Arial"/>
          <w:b/>
          <w:color w:val="000000"/>
          <w:lang w:val="cs-CZ"/>
        </w:rPr>
      </w:pPr>
      <w:r w:rsidRPr="008F6D9F">
        <w:rPr>
          <w:rFonts w:ascii="Arial" w:eastAsia="PMingLiU" w:hAnsi="Arial" w:cs="Arial"/>
          <w:b/>
          <w:color w:val="000000"/>
          <w:lang w:val="cs-CZ"/>
        </w:rPr>
        <w:lastRenderedPageBreak/>
        <w:t>Kontaktní osoby:</w:t>
      </w:r>
    </w:p>
    <w:p w14:paraId="1D42F04E" w14:textId="0E6006DB" w:rsidR="00C10C38" w:rsidRDefault="00C10C38" w:rsidP="008F6D9F">
      <w:pPr>
        <w:kinsoku w:val="0"/>
        <w:spacing w:before="0" w:after="120"/>
        <w:rPr>
          <w:rFonts w:ascii="Arial" w:eastAsia="PMingLiU" w:hAnsi="Arial" w:cs="Arial"/>
          <w:bCs/>
          <w:color w:val="000000"/>
          <w:sz w:val="20"/>
          <w:szCs w:val="20"/>
          <w:lang w:val="cs-CZ"/>
        </w:rPr>
      </w:pPr>
      <w:r w:rsidRPr="00C10C38">
        <w:rPr>
          <w:rFonts w:ascii="Arial" w:eastAsia="PMingLiU" w:hAnsi="Arial" w:cs="Arial"/>
          <w:b/>
          <w:color w:val="000000"/>
          <w:sz w:val="20"/>
          <w:szCs w:val="20"/>
          <w:lang w:val="cs-CZ"/>
        </w:rPr>
        <w:t>Václav Kotyk</w:t>
      </w:r>
      <w:r w:rsidRPr="00C10C38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, mediální konzultant, Grunex</w:t>
      </w:r>
      <w:r w:rsidR="008F6D9F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br/>
      </w:r>
      <w:r w:rsidRPr="00C10C38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(+ 420) 602 317 087, </w:t>
      </w:r>
      <w:hyperlink r:id="rId8" w:history="1">
        <w:r w:rsidR="00B64D9A" w:rsidRPr="00614DD2">
          <w:rPr>
            <w:rStyle w:val="Hypertextovodkaz"/>
            <w:rFonts w:ascii="Arial" w:eastAsia="PMingLiU" w:hAnsi="Arial" w:cs="Arial"/>
            <w:bCs/>
            <w:sz w:val="20"/>
            <w:szCs w:val="20"/>
            <w:lang w:val="cs-CZ"/>
          </w:rPr>
          <w:t>vaclav.kotyk@grunex.com</w:t>
        </w:r>
      </w:hyperlink>
    </w:p>
    <w:p w14:paraId="2C09A845" w14:textId="284000E2" w:rsidR="00C10C38" w:rsidRDefault="00C10C38" w:rsidP="008F6D9F">
      <w:pPr>
        <w:kinsoku w:val="0"/>
        <w:spacing w:before="0" w:after="120"/>
        <w:rPr>
          <w:rFonts w:ascii="Arial" w:eastAsia="PMingLiU" w:hAnsi="Arial" w:cs="Arial"/>
          <w:bCs/>
          <w:color w:val="000000"/>
          <w:sz w:val="20"/>
          <w:szCs w:val="20"/>
          <w:lang w:val="cs-CZ"/>
        </w:rPr>
      </w:pPr>
      <w:r w:rsidRPr="00C10C38">
        <w:rPr>
          <w:rFonts w:ascii="Arial" w:eastAsia="PMingLiU" w:hAnsi="Arial" w:cs="Arial"/>
          <w:b/>
          <w:color w:val="000000"/>
          <w:sz w:val="20"/>
          <w:szCs w:val="20"/>
          <w:lang w:val="cs-CZ"/>
        </w:rPr>
        <w:t>Martin Liberský</w:t>
      </w:r>
      <w:r w:rsidRPr="00C10C38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, ředitel agentury, Grunex</w:t>
      </w:r>
      <w:r w:rsidR="008F6D9F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br/>
      </w:r>
      <w:r w:rsidRPr="00C10C38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(+ 420) 603 434 318, </w:t>
      </w:r>
      <w:hyperlink r:id="rId9" w:history="1">
        <w:r w:rsidR="00B64D9A" w:rsidRPr="00614DD2">
          <w:rPr>
            <w:rStyle w:val="Hypertextovodkaz"/>
            <w:rFonts w:ascii="Arial" w:eastAsia="PMingLiU" w:hAnsi="Arial" w:cs="Arial"/>
            <w:bCs/>
            <w:sz w:val="20"/>
            <w:szCs w:val="20"/>
            <w:lang w:val="cs-CZ"/>
          </w:rPr>
          <w:t>martin.libersky@grunex.com</w:t>
        </w:r>
      </w:hyperlink>
    </w:p>
    <w:p w14:paraId="098920EF" w14:textId="77777777" w:rsidR="008F6D9F" w:rsidRDefault="008F6D9F" w:rsidP="008F6D9F">
      <w:pPr>
        <w:pStyle w:val="ContactInformation"/>
        <w:spacing w:after="120" w:line="360" w:lineRule="exact"/>
        <w:jc w:val="both"/>
        <w:rPr>
          <w:rFonts w:ascii="Arial" w:eastAsia="PMingLiU" w:hAnsi="Arial" w:cs="Arial"/>
          <w:b/>
          <w:color w:val="000000"/>
          <w:lang w:val="cs-CZ"/>
        </w:rPr>
      </w:pPr>
    </w:p>
    <w:p w14:paraId="6CC11756" w14:textId="77777777" w:rsidR="00D67CAA" w:rsidRPr="008F6D9F" w:rsidRDefault="008F6D9F" w:rsidP="008F6D9F">
      <w:pPr>
        <w:pStyle w:val="ContactInformation"/>
        <w:spacing w:after="120" w:line="360" w:lineRule="exact"/>
        <w:jc w:val="both"/>
        <w:rPr>
          <w:rFonts w:ascii="Arial" w:eastAsia="PMingLiU" w:hAnsi="Arial" w:cs="Arial"/>
          <w:b/>
          <w:color w:val="000000"/>
          <w:lang w:val="cs-CZ"/>
        </w:rPr>
      </w:pPr>
      <w:r w:rsidRPr="008F6D9F">
        <w:rPr>
          <w:rFonts w:ascii="Arial" w:eastAsia="PMingLiU" w:hAnsi="Arial" w:cs="Arial"/>
          <w:b/>
          <w:color w:val="000000"/>
          <w:lang w:val="cs-CZ"/>
        </w:rPr>
        <w:t>Poznámky pro editory</w:t>
      </w:r>
    </w:p>
    <w:p w14:paraId="46A92605" w14:textId="5505A006" w:rsidR="00D23EDE" w:rsidRPr="008F6D9F" w:rsidRDefault="008F6D9F" w:rsidP="008F6D9F">
      <w:pPr>
        <w:pStyle w:val="ContactInformation"/>
        <w:spacing w:after="120" w:line="360" w:lineRule="exact"/>
        <w:jc w:val="both"/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</w:pPr>
      <w:r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 xml:space="preserve">O značce </w:t>
      </w:r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 xml:space="preserve">ADATA – </w:t>
      </w:r>
      <w:proofErr w:type="spellStart"/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>Innovating</w:t>
      </w:r>
      <w:proofErr w:type="spellEnd"/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 xml:space="preserve"> </w:t>
      </w:r>
      <w:proofErr w:type="spellStart"/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>the</w:t>
      </w:r>
      <w:proofErr w:type="spellEnd"/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 xml:space="preserve"> </w:t>
      </w:r>
      <w:proofErr w:type="spellStart"/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>Future</w:t>
      </w:r>
      <w:proofErr w:type="spellEnd"/>
      <w:r w:rsidR="00D23EDE" w:rsidRPr="008F6D9F">
        <w:rPr>
          <w:rFonts w:ascii="Arial" w:eastAsia="PMingLiU" w:hAnsi="Arial" w:cs="Arial"/>
          <w:b/>
          <w:color w:val="000000"/>
          <w:sz w:val="22"/>
          <w:szCs w:val="22"/>
          <w:u w:val="single"/>
          <w:lang w:val="cs-CZ"/>
        </w:rPr>
        <w:t xml:space="preserve"> </w:t>
      </w:r>
    </w:p>
    <w:p w14:paraId="62245752" w14:textId="74F4435A" w:rsidR="00C6249C" w:rsidRPr="00D67CAA" w:rsidRDefault="00D67CAA" w:rsidP="008F6D9F">
      <w:pPr>
        <w:pStyle w:val="ContactInformation"/>
        <w:spacing w:after="120" w:line="360" w:lineRule="exact"/>
        <w:jc w:val="both"/>
        <w:rPr>
          <w:rFonts w:ascii="Arial" w:eastAsia="PMingLiU" w:hAnsi="Arial" w:cs="Arial"/>
          <w:bCs/>
          <w:color w:val="000000"/>
          <w:sz w:val="20"/>
          <w:szCs w:val="20"/>
          <w:lang w:val="cs-CZ"/>
        </w:rPr>
      </w:pP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Společnost ADATA Technology je druhým největším výrobcem pamětí DRAM a značkových SSD disků na světě a v žebříčku Best Taiwan </w:t>
      </w:r>
      <w:proofErr w:type="spellStart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Global</w:t>
      </w:r>
      <w:proofErr w:type="spellEnd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Brands</w:t>
      </w:r>
      <w:proofErr w:type="spellEnd"/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zaujímá 19. místo. Mezi hlavní produktové řady společnosti ADATA patří paměťové moduly, SSD disky, další 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úložiště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pro spotřebitele a průmyslová řešení. Společnost se také zaměř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uje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na elektromobily, 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autonomní mobilní 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roboty s umělou inteligencí a 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herní odvětví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se svou značkou XPG. 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Produkt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y společnosti ADATA získaly v průběhu let širok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ý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mezinárodní</w:t>
      </w:r>
      <w:r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věhlas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, včetně ocenění </w:t>
      </w:r>
      <w:proofErr w:type="spellStart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iF</w:t>
      </w:r>
      <w:proofErr w:type="spellEnd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Design, </w:t>
      </w:r>
      <w:proofErr w:type="spellStart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Red</w:t>
      </w:r>
      <w:proofErr w:type="spellEnd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Dot</w:t>
      </w:r>
      <w:proofErr w:type="spellEnd"/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Design a Taiwan Excellence. Společnost ADATA byla také oceněna za svůj závazek k péči o zaměstnance a společenskou odpovědnost, včetně ocenění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„Great Place to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Work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Certification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pro své pobočky na Tchaj-wanu, v Číně, USA, Brazílii a Mexiku a ocenění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„Best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Workplaces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in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Asia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,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„Best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Workplaces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in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Greater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China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a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„Best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Workplaces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in Taiwan“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. Od roku 2020 získala společnost ADATA pět let po sobě ocenění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„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Asia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Responsible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Enterprise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Awards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 a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„Best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Companies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to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Work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for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in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Asia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. Při pohledu do budoucnosti je společnost ADATA i nadále oddána své udržitelné vizi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"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Innovate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Today,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Embrace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</w:t>
      </w:r>
      <w:proofErr w:type="spellStart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Tomorrow</w:t>
      </w:r>
      <w:proofErr w:type="spellEnd"/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"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. Společnost nadále ztělesňuje 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„</w:t>
      </w:r>
      <w:r w:rsidR="008F6D9F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>ducha</w:t>
      </w:r>
      <w:r w:rsidRPr="00D67CAA">
        <w:rPr>
          <w:rFonts w:ascii="Arial" w:eastAsia="PMingLiU" w:hAnsi="Arial" w:cs="Arial"/>
          <w:bCs/>
          <w:i/>
          <w:iCs/>
          <w:color w:val="000000"/>
          <w:sz w:val="20"/>
          <w:szCs w:val="20"/>
          <w:lang w:val="cs-CZ"/>
        </w:rPr>
        <w:t xml:space="preserve"> kolibříka“</w:t>
      </w:r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 xml:space="preserve">, protože využívá inovativní technologie k vytváření chytrého a pestrého života pro lidi na celém světě. Další informace naleznete na adrese </w:t>
      </w:r>
      <w:hyperlink r:id="rId10" w:history="1">
        <w:r w:rsidR="002A2D3C">
          <w:rPr>
            <w:rStyle w:val="Hypertextovodkaz"/>
            <w:rFonts w:ascii="Arial" w:eastAsia="PMingLiU" w:hAnsi="Arial" w:cs="Arial"/>
            <w:bCs/>
            <w:sz w:val="20"/>
            <w:szCs w:val="20"/>
            <w:lang w:val="cs-CZ"/>
          </w:rPr>
          <w:t>https://www.adata.com</w:t>
        </w:r>
      </w:hyperlink>
      <w:r w:rsidRPr="00D67CAA">
        <w:rPr>
          <w:rFonts w:ascii="Arial" w:eastAsia="PMingLiU" w:hAnsi="Arial" w:cs="Arial"/>
          <w:bCs/>
          <w:color w:val="000000"/>
          <w:sz w:val="20"/>
          <w:szCs w:val="20"/>
          <w:lang w:val="cs-CZ"/>
        </w:rPr>
        <w:t>.</w:t>
      </w:r>
    </w:p>
    <w:sectPr w:rsidR="00C6249C" w:rsidRPr="00D67CAA" w:rsidSect="00166297">
      <w:headerReference w:type="default" r:id="rId11"/>
      <w:footerReference w:type="default" r:id="rId12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8883" w14:textId="77777777" w:rsidR="00355ED6" w:rsidRDefault="00355ED6">
      <w:r>
        <w:separator/>
      </w:r>
    </w:p>
  </w:endnote>
  <w:endnote w:type="continuationSeparator" w:id="0">
    <w:p w14:paraId="13674410" w14:textId="77777777" w:rsidR="00355ED6" w:rsidRDefault="0035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6F31" w14:textId="77777777" w:rsidR="008F6D9F" w:rsidRDefault="008F6D9F" w:rsidP="008F6D9F">
    <w:pPr>
      <w:pStyle w:val="Zpat"/>
    </w:pPr>
  </w:p>
  <w:p w14:paraId="7A929AD1" w14:textId="77777777" w:rsidR="008F6D9F" w:rsidRPr="00462E91" w:rsidRDefault="008F6D9F" w:rsidP="008F6D9F">
    <w:pPr>
      <w:pStyle w:val="Zpat"/>
      <w:rPr>
        <w:lang w:val="fr-FR"/>
      </w:rPr>
    </w:pPr>
    <w:r w:rsidRPr="00462E91">
      <w:rPr>
        <w:lang w:val="fr-FR"/>
      </w:rPr>
      <w:t xml:space="preserve">Vytvořila </w:t>
    </w:r>
    <w:proofErr w:type="spellStart"/>
    <w:r w:rsidRPr="00462E91">
      <w:rPr>
        <w:lang w:val="fr-FR"/>
      </w:rPr>
      <w:t>agentura</w:t>
    </w:r>
    <w:proofErr w:type="spellEnd"/>
    <w:r w:rsidRPr="00462E91">
      <w:rPr>
        <w:lang w:val="fr-FR"/>
      </w:rPr>
      <w:t xml:space="preserve"> Grunex | www.GrunexB2B.com</w:t>
    </w:r>
  </w:p>
  <w:p w14:paraId="654A32F8" w14:textId="77777777" w:rsidR="008F6D9F" w:rsidRPr="00462E91" w:rsidRDefault="008F6D9F" w:rsidP="008F6D9F">
    <w:pPr>
      <w:pStyle w:val="Zpat"/>
      <w:rPr>
        <w:lang w:val="fr-FR"/>
      </w:rPr>
    </w:pPr>
    <w:r w:rsidRPr="00462E91">
      <w:rPr>
        <w:lang w:val="fr-FR"/>
      </w:rPr>
      <w:t>[</w:t>
    </w:r>
    <w:proofErr w:type="spellStart"/>
    <w:r w:rsidRPr="00462E91">
      <w:rPr>
        <w:lang w:val="fr-FR"/>
      </w:rPr>
      <w:t>Tiskové</w:t>
    </w:r>
    <w:proofErr w:type="spellEnd"/>
    <w:r w:rsidRPr="00462E91">
      <w:rPr>
        <w:lang w:val="fr-FR"/>
      </w:rPr>
      <w:t xml:space="preserve"> </w:t>
    </w:r>
    <w:proofErr w:type="spellStart"/>
    <w:r w:rsidRPr="00462E91">
      <w:rPr>
        <w:lang w:val="fr-FR"/>
      </w:rPr>
      <w:t>středisko</w:t>
    </w:r>
    <w:proofErr w:type="spellEnd"/>
    <w:r w:rsidRPr="00462E91">
      <w:rPr>
        <w:lang w:val="fr-FR"/>
      </w:rPr>
      <w:t xml:space="preserve">, </w:t>
    </w:r>
    <w:proofErr w:type="spellStart"/>
    <w:r w:rsidRPr="00462E91">
      <w:rPr>
        <w:lang w:val="fr-FR"/>
      </w:rPr>
      <w:t>kde</w:t>
    </w:r>
    <w:proofErr w:type="spellEnd"/>
    <w:r w:rsidRPr="00462E91">
      <w:rPr>
        <w:lang w:val="fr-FR"/>
      </w:rPr>
      <w:t xml:space="preserve"> si </w:t>
    </w:r>
    <w:proofErr w:type="spellStart"/>
    <w:r w:rsidRPr="00462E91">
      <w:rPr>
        <w:lang w:val="fr-FR"/>
      </w:rPr>
      <w:t>můžete</w:t>
    </w:r>
    <w:proofErr w:type="spellEnd"/>
    <w:r w:rsidRPr="00462E91">
      <w:rPr>
        <w:lang w:val="fr-FR"/>
      </w:rPr>
      <w:t xml:space="preserve"> </w:t>
    </w:r>
    <w:proofErr w:type="spellStart"/>
    <w:r w:rsidRPr="00462E91">
      <w:rPr>
        <w:lang w:val="fr-FR"/>
      </w:rPr>
      <w:t>stáhnout</w:t>
    </w:r>
    <w:proofErr w:type="spellEnd"/>
    <w:r w:rsidRPr="00462E91">
      <w:rPr>
        <w:lang w:val="fr-FR"/>
      </w:rPr>
      <w:t xml:space="preserve"> </w:t>
    </w:r>
    <w:proofErr w:type="spellStart"/>
    <w:r w:rsidRPr="00462E91">
      <w:rPr>
        <w:lang w:val="fr-FR"/>
      </w:rPr>
      <w:t>podklady</w:t>
    </w:r>
    <w:proofErr w:type="spellEnd"/>
    <w:r w:rsidRPr="00462E91">
      <w:rPr>
        <w:lang w:val="fr-FR"/>
      </w:rPr>
      <w:t xml:space="preserve"> ADATA]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809C" w14:textId="77777777" w:rsidR="00355ED6" w:rsidRDefault="00355ED6">
      <w:r>
        <w:separator/>
      </w:r>
    </w:p>
  </w:footnote>
  <w:footnote w:type="continuationSeparator" w:id="0">
    <w:p w14:paraId="16CC9367" w14:textId="77777777" w:rsidR="00355ED6" w:rsidRDefault="0035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DB95" w14:textId="77777777" w:rsidR="00C76187" w:rsidRDefault="00C10C38" w:rsidP="00C10C38">
    <w:pPr>
      <w:pStyle w:val="Zhlav"/>
      <w:rPr>
        <w:rFonts w:ascii="Arial" w:hAnsi="Arial" w:cs="Arial"/>
      </w:rPr>
    </w:pPr>
    <w:r w:rsidRPr="00C10C38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566D97" wp14:editId="78B72D8B">
              <wp:simplePos x="0" y="0"/>
              <wp:positionH relativeFrom="margin">
                <wp:align>right</wp:align>
              </wp:positionH>
              <wp:positionV relativeFrom="paragraph">
                <wp:posOffset>106680</wp:posOffset>
              </wp:positionV>
              <wp:extent cx="2360930" cy="1404620"/>
              <wp:effectExtent l="0" t="0" r="889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4A3E7" w14:textId="77777777" w:rsidR="00C10C38" w:rsidRPr="00C10C38" w:rsidRDefault="00C10C38" w:rsidP="00C10C38">
                          <w:pPr>
                            <w:jc w:val="right"/>
                            <w:rPr>
                              <w:lang w:val="cs-CZ"/>
                            </w:rPr>
                          </w:pPr>
                          <w:r w:rsidRPr="00C10C38">
                            <w:rPr>
                              <w:rFonts w:ascii="Arial" w:hAnsi="Arial" w:cs="Arial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566D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4.7pt;margin-top:8.4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Z6okt&#10;3QAAAAcBAAAPAAAAAAAAAAAAAAAAAGgEAABkcnMvZG93bnJldi54bWxQSwUGAAAAAAQABADzAAAA&#10;cgUAAAAA&#10;" stroked="f">
              <v:textbox style="mso-fit-shape-to-text:t">
                <w:txbxContent>
                  <w:p w14:paraId="3EB4A3E7" w14:textId="77777777" w:rsidR="00C10C38" w:rsidRPr="00C10C38" w:rsidRDefault="00C10C38" w:rsidP="00C10C38">
                    <w:pPr>
                      <w:jc w:val="right"/>
                      <w:rPr>
                        <w:lang w:val="cs-CZ"/>
                      </w:rPr>
                    </w:pPr>
                    <w:r w:rsidRPr="00C10C38">
                      <w:rPr>
                        <w:rFonts w:ascii="Arial" w:hAnsi="Arial" w:cs="Arial"/>
                        <w:lang w:val="cs-CZ"/>
                      </w:rPr>
                      <w:t>Tisková zpráva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66297" w:rsidRPr="00C10C38">
      <w:rPr>
        <w:rFonts w:ascii="Arial" w:hAnsi="Arial" w:cs="Arial"/>
        <w:noProof/>
      </w:rPr>
      <w:drawing>
        <wp:inline distT="0" distB="0" distL="0" distR="0" wp14:anchorId="265B18B8" wp14:editId="0FD021FD">
          <wp:extent cx="1574358" cy="901977"/>
          <wp:effectExtent l="0" t="0" r="698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TA+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5" t="6154" r="3760" b="9231"/>
                  <a:stretch/>
                </pic:blipFill>
                <pic:spPr bwMode="auto">
                  <a:xfrm>
                    <a:off x="0" y="0"/>
                    <a:ext cx="1580917" cy="90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FC7D5A" w14:textId="77777777" w:rsidR="00C75299" w:rsidRPr="00C10C38" w:rsidRDefault="00C75299" w:rsidP="00C10C3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D43"/>
    <w:multiLevelType w:val="hybridMultilevel"/>
    <w:tmpl w:val="F1247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BA6"/>
    <w:multiLevelType w:val="hybridMultilevel"/>
    <w:tmpl w:val="F294C15E"/>
    <w:lvl w:ilvl="0" w:tplc="A64EA5F6">
      <w:start w:val="1"/>
      <w:numFmt w:val="bullet"/>
      <w:lvlText w:val=""/>
      <w:lvlJc w:val="left"/>
      <w:pPr>
        <w:tabs>
          <w:tab w:val="num" w:pos="0"/>
        </w:tabs>
        <w:ind w:left="360" w:hanging="480"/>
      </w:pPr>
      <w:rPr>
        <w:rFonts w:ascii="Symbol" w:hAnsi="Symbol" w:cs="Wingdings" w:hint="default"/>
        <w:vanish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91A"/>
    <w:multiLevelType w:val="hybridMultilevel"/>
    <w:tmpl w:val="6FB03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064B"/>
    <w:multiLevelType w:val="hybridMultilevel"/>
    <w:tmpl w:val="B9300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7278"/>
    <w:multiLevelType w:val="hybridMultilevel"/>
    <w:tmpl w:val="608E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50F4"/>
    <w:multiLevelType w:val="hybridMultilevel"/>
    <w:tmpl w:val="EC0C4B3A"/>
    <w:lvl w:ilvl="0" w:tplc="CC821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C1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9EA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CE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A5C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A3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42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AF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40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92556"/>
    <w:multiLevelType w:val="hybridMultilevel"/>
    <w:tmpl w:val="3CD64F88"/>
    <w:lvl w:ilvl="0" w:tplc="636A40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C9F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49F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E29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8C39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2EE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003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4DD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436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931D4"/>
    <w:multiLevelType w:val="hybridMultilevel"/>
    <w:tmpl w:val="B896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8016">
    <w:abstractNumId w:val="6"/>
  </w:num>
  <w:num w:numId="2" w16cid:durableId="1778718744">
    <w:abstractNumId w:val="5"/>
  </w:num>
  <w:num w:numId="3" w16cid:durableId="506021825">
    <w:abstractNumId w:val="1"/>
  </w:num>
  <w:num w:numId="4" w16cid:durableId="1705787803">
    <w:abstractNumId w:val="4"/>
  </w:num>
  <w:num w:numId="5" w16cid:durableId="1958635653">
    <w:abstractNumId w:val="0"/>
  </w:num>
  <w:num w:numId="6" w16cid:durableId="406533244">
    <w:abstractNumId w:val="2"/>
  </w:num>
  <w:num w:numId="7" w16cid:durableId="1772970244">
    <w:abstractNumId w:val="3"/>
  </w:num>
  <w:num w:numId="8" w16cid:durableId="1596209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NDIzN7I0MTQ1NbZU0lEKTi0uzszPAykwNKoFAFuGhfYtAAAA"/>
  </w:docVars>
  <w:rsids>
    <w:rsidRoot w:val="00D444E5"/>
    <w:rsid w:val="00003612"/>
    <w:rsid w:val="0000682E"/>
    <w:rsid w:val="000074C9"/>
    <w:rsid w:val="00007EDA"/>
    <w:rsid w:val="000112CB"/>
    <w:rsid w:val="000133DE"/>
    <w:rsid w:val="000175F7"/>
    <w:rsid w:val="00017E0E"/>
    <w:rsid w:val="00020562"/>
    <w:rsid w:val="000303AC"/>
    <w:rsid w:val="0003703D"/>
    <w:rsid w:val="00040C8F"/>
    <w:rsid w:val="00041D14"/>
    <w:rsid w:val="00045497"/>
    <w:rsid w:val="00050194"/>
    <w:rsid w:val="00052CA0"/>
    <w:rsid w:val="00052CA5"/>
    <w:rsid w:val="00053A57"/>
    <w:rsid w:val="0005468C"/>
    <w:rsid w:val="000547A6"/>
    <w:rsid w:val="00057609"/>
    <w:rsid w:val="00062FB9"/>
    <w:rsid w:val="00067C5A"/>
    <w:rsid w:val="00072D26"/>
    <w:rsid w:val="00081C70"/>
    <w:rsid w:val="000840AD"/>
    <w:rsid w:val="00087917"/>
    <w:rsid w:val="000908CE"/>
    <w:rsid w:val="00090A36"/>
    <w:rsid w:val="000911B2"/>
    <w:rsid w:val="0009451E"/>
    <w:rsid w:val="000A1A70"/>
    <w:rsid w:val="000A7487"/>
    <w:rsid w:val="000A76CD"/>
    <w:rsid w:val="000C1438"/>
    <w:rsid w:val="000C5932"/>
    <w:rsid w:val="000D15D0"/>
    <w:rsid w:val="000D2E87"/>
    <w:rsid w:val="000D4B08"/>
    <w:rsid w:val="000E0DF0"/>
    <w:rsid w:val="000E30FA"/>
    <w:rsid w:val="000E39E7"/>
    <w:rsid w:val="000E5A7C"/>
    <w:rsid w:val="000F1066"/>
    <w:rsid w:val="000F6014"/>
    <w:rsid w:val="001003F5"/>
    <w:rsid w:val="00105C5F"/>
    <w:rsid w:val="00106AA7"/>
    <w:rsid w:val="00113028"/>
    <w:rsid w:val="001159F3"/>
    <w:rsid w:val="00120342"/>
    <w:rsid w:val="00120D9A"/>
    <w:rsid w:val="0012528B"/>
    <w:rsid w:val="001273F9"/>
    <w:rsid w:val="001324A5"/>
    <w:rsid w:val="001331CA"/>
    <w:rsid w:val="0014159B"/>
    <w:rsid w:val="001433C6"/>
    <w:rsid w:val="00144257"/>
    <w:rsid w:val="00152434"/>
    <w:rsid w:val="00152E44"/>
    <w:rsid w:val="001646C6"/>
    <w:rsid w:val="00166297"/>
    <w:rsid w:val="00170E5D"/>
    <w:rsid w:val="00172AA3"/>
    <w:rsid w:val="001745E4"/>
    <w:rsid w:val="00174F99"/>
    <w:rsid w:val="001759EC"/>
    <w:rsid w:val="0017662D"/>
    <w:rsid w:val="00183A08"/>
    <w:rsid w:val="00185464"/>
    <w:rsid w:val="00186E61"/>
    <w:rsid w:val="00194BE4"/>
    <w:rsid w:val="00194ECC"/>
    <w:rsid w:val="00196CFF"/>
    <w:rsid w:val="001971A4"/>
    <w:rsid w:val="001973E8"/>
    <w:rsid w:val="001A5701"/>
    <w:rsid w:val="001A69ED"/>
    <w:rsid w:val="001B0850"/>
    <w:rsid w:val="001B2243"/>
    <w:rsid w:val="001B34B4"/>
    <w:rsid w:val="001B4A22"/>
    <w:rsid w:val="001B59F0"/>
    <w:rsid w:val="001C0B3E"/>
    <w:rsid w:val="001C0B48"/>
    <w:rsid w:val="001C0FAB"/>
    <w:rsid w:val="001C24B5"/>
    <w:rsid w:val="001C7AFC"/>
    <w:rsid w:val="001D7120"/>
    <w:rsid w:val="001E0B25"/>
    <w:rsid w:val="001E757D"/>
    <w:rsid w:val="001F2647"/>
    <w:rsid w:val="001F3A10"/>
    <w:rsid w:val="001F55C7"/>
    <w:rsid w:val="00212620"/>
    <w:rsid w:val="002155B0"/>
    <w:rsid w:val="00223268"/>
    <w:rsid w:val="00226319"/>
    <w:rsid w:val="00231E33"/>
    <w:rsid w:val="002362ED"/>
    <w:rsid w:val="0024321C"/>
    <w:rsid w:val="00244878"/>
    <w:rsid w:val="00251DBD"/>
    <w:rsid w:val="0025365D"/>
    <w:rsid w:val="002559B0"/>
    <w:rsid w:val="002563AB"/>
    <w:rsid w:val="00260449"/>
    <w:rsid w:val="00260489"/>
    <w:rsid w:val="00261264"/>
    <w:rsid w:val="002616F5"/>
    <w:rsid w:val="00262DE8"/>
    <w:rsid w:val="00263AD6"/>
    <w:rsid w:val="0026526F"/>
    <w:rsid w:val="00265F33"/>
    <w:rsid w:val="002708BC"/>
    <w:rsid w:val="00283991"/>
    <w:rsid w:val="0028494B"/>
    <w:rsid w:val="00284D5B"/>
    <w:rsid w:val="0029388C"/>
    <w:rsid w:val="002979D0"/>
    <w:rsid w:val="002A2D3C"/>
    <w:rsid w:val="002A4625"/>
    <w:rsid w:val="002A5BCA"/>
    <w:rsid w:val="002B2645"/>
    <w:rsid w:val="002B2B8A"/>
    <w:rsid w:val="002B3404"/>
    <w:rsid w:val="002B37EA"/>
    <w:rsid w:val="002B4858"/>
    <w:rsid w:val="002C3BF8"/>
    <w:rsid w:val="002C6DF5"/>
    <w:rsid w:val="002D4E95"/>
    <w:rsid w:val="002E341C"/>
    <w:rsid w:val="002F6E4E"/>
    <w:rsid w:val="002F70B8"/>
    <w:rsid w:val="00300A96"/>
    <w:rsid w:val="00304037"/>
    <w:rsid w:val="00306203"/>
    <w:rsid w:val="003067E9"/>
    <w:rsid w:val="00322DD8"/>
    <w:rsid w:val="00324363"/>
    <w:rsid w:val="0032496E"/>
    <w:rsid w:val="00331247"/>
    <w:rsid w:val="00332B21"/>
    <w:rsid w:val="003347DE"/>
    <w:rsid w:val="00337302"/>
    <w:rsid w:val="00344A2C"/>
    <w:rsid w:val="00346773"/>
    <w:rsid w:val="0035211F"/>
    <w:rsid w:val="0035500C"/>
    <w:rsid w:val="00355C87"/>
    <w:rsid w:val="00355ED6"/>
    <w:rsid w:val="003607DD"/>
    <w:rsid w:val="00361067"/>
    <w:rsid w:val="003646F2"/>
    <w:rsid w:val="00366E9D"/>
    <w:rsid w:val="00376D28"/>
    <w:rsid w:val="003820BF"/>
    <w:rsid w:val="003825B3"/>
    <w:rsid w:val="00385CDB"/>
    <w:rsid w:val="003B36F3"/>
    <w:rsid w:val="003B4820"/>
    <w:rsid w:val="003C01C5"/>
    <w:rsid w:val="003C2827"/>
    <w:rsid w:val="003C6414"/>
    <w:rsid w:val="003C7674"/>
    <w:rsid w:val="003D3F68"/>
    <w:rsid w:val="003D5523"/>
    <w:rsid w:val="003E0BB9"/>
    <w:rsid w:val="003E424D"/>
    <w:rsid w:val="003E748C"/>
    <w:rsid w:val="003F031F"/>
    <w:rsid w:val="003F5F8D"/>
    <w:rsid w:val="003F691C"/>
    <w:rsid w:val="0041520E"/>
    <w:rsid w:val="00420DE0"/>
    <w:rsid w:val="0043097F"/>
    <w:rsid w:val="004314AE"/>
    <w:rsid w:val="00432689"/>
    <w:rsid w:val="00434264"/>
    <w:rsid w:val="00442FD5"/>
    <w:rsid w:val="0045181A"/>
    <w:rsid w:val="00454D7D"/>
    <w:rsid w:val="00462E91"/>
    <w:rsid w:val="0046353E"/>
    <w:rsid w:val="00464E40"/>
    <w:rsid w:val="004668CD"/>
    <w:rsid w:val="0048003D"/>
    <w:rsid w:val="00491E0F"/>
    <w:rsid w:val="004945CC"/>
    <w:rsid w:val="00495A81"/>
    <w:rsid w:val="004A1A82"/>
    <w:rsid w:val="004B2589"/>
    <w:rsid w:val="004B6B63"/>
    <w:rsid w:val="004B6D46"/>
    <w:rsid w:val="004C0516"/>
    <w:rsid w:val="004C0B22"/>
    <w:rsid w:val="004C1641"/>
    <w:rsid w:val="004C6A15"/>
    <w:rsid w:val="004E233B"/>
    <w:rsid w:val="004E3839"/>
    <w:rsid w:val="004E522F"/>
    <w:rsid w:val="004F0DD1"/>
    <w:rsid w:val="004F0E27"/>
    <w:rsid w:val="004F41E8"/>
    <w:rsid w:val="004F5565"/>
    <w:rsid w:val="00502DD1"/>
    <w:rsid w:val="00507C46"/>
    <w:rsid w:val="00512732"/>
    <w:rsid w:val="0051396D"/>
    <w:rsid w:val="005140FF"/>
    <w:rsid w:val="00516203"/>
    <w:rsid w:val="005212E3"/>
    <w:rsid w:val="005227FD"/>
    <w:rsid w:val="00524C88"/>
    <w:rsid w:val="00525D4C"/>
    <w:rsid w:val="00530C66"/>
    <w:rsid w:val="005414F9"/>
    <w:rsid w:val="00542A12"/>
    <w:rsid w:val="005527EC"/>
    <w:rsid w:val="005660B5"/>
    <w:rsid w:val="00571454"/>
    <w:rsid w:val="00572405"/>
    <w:rsid w:val="0057774D"/>
    <w:rsid w:val="00580B9A"/>
    <w:rsid w:val="00591DE3"/>
    <w:rsid w:val="00592215"/>
    <w:rsid w:val="005A26C9"/>
    <w:rsid w:val="005B058C"/>
    <w:rsid w:val="005B3469"/>
    <w:rsid w:val="005B4E82"/>
    <w:rsid w:val="005C3380"/>
    <w:rsid w:val="005C5E62"/>
    <w:rsid w:val="005C6206"/>
    <w:rsid w:val="005C6800"/>
    <w:rsid w:val="005D4D40"/>
    <w:rsid w:val="005D7DCB"/>
    <w:rsid w:val="005E3AE5"/>
    <w:rsid w:val="005E693A"/>
    <w:rsid w:val="005E7EEE"/>
    <w:rsid w:val="005F634D"/>
    <w:rsid w:val="00604353"/>
    <w:rsid w:val="00614A86"/>
    <w:rsid w:val="00616EA8"/>
    <w:rsid w:val="006244E9"/>
    <w:rsid w:val="006254AC"/>
    <w:rsid w:val="00625B34"/>
    <w:rsid w:val="00643758"/>
    <w:rsid w:val="00645772"/>
    <w:rsid w:val="00646793"/>
    <w:rsid w:val="006472AC"/>
    <w:rsid w:val="00651AED"/>
    <w:rsid w:val="0065515A"/>
    <w:rsid w:val="00671385"/>
    <w:rsid w:val="00671B5B"/>
    <w:rsid w:val="00672CF3"/>
    <w:rsid w:val="00673189"/>
    <w:rsid w:val="006768EA"/>
    <w:rsid w:val="006806FD"/>
    <w:rsid w:val="006846AD"/>
    <w:rsid w:val="00684B5B"/>
    <w:rsid w:val="0069228F"/>
    <w:rsid w:val="00692751"/>
    <w:rsid w:val="00694031"/>
    <w:rsid w:val="006B02CD"/>
    <w:rsid w:val="006B2D10"/>
    <w:rsid w:val="006C638F"/>
    <w:rsid w:val="006C71B0"/>
    <w:rsid w:val="006D3463"/>
    <w:rsid w:val="006D670E"/>
    <w:rsid w:val="006E4FF0"/>
    <w:rsid w:val="006F1368"/>
    <w:rsid w:val="006F6C07"/>
    <w:rsid w:val="007012FF"/>
    <w:rsid w:val="0070230A"/>
    <w:rsid w:val="007064D3"/>
    <w:rsid w:val="007138CD"/>
    <w:rsid w:val="00713CD7"/>
    <w:rsid w:val="00713D0C"/>
    <w:rsid w:val="00715CB1"/>
    <w:rsid w:val="007209FA"/>
    <w:rsid w:val="00724AEF"/>
    <w:rsid w:val="00730683"/>
    <w:rsid w:val="00731AAA"/>
    <w:rsid w:val="00737219"/>
    <w:rsid w:val="00741F22"/>
    <w:rsid w:val="00742EE2"/>
    <w:rsid w:val="00746816"/>
    <w:rsid w:val="00746906"/>
    <w:rsid w:val="0075011F"/>
    <w:rsid w:val="00750B6F"/>
    <w:rsid w:val="00751A3C"/>
    <w:rsid w:val="00756524"/>
    <w:rsid w:val="00772E23"/>
    <w:rsid w:val="0078186E"/>
    <w:rsid w:val="0078305B"/>
    <w:rsid w:val="007855F2"/>
    <w:rsid w:val="007867C8"/>
    <w:rsid w:val="00792810"/>
    <w:rsid w:val="00792E00"/>
    <w:rsid w:val="007945B3"/>
    <w:rsid w:val="00794A7C"/>
    <w:rsid w:val="007A185F"/>
    <w:rsid w:val="007A2B22"/>
    <w:rsid w:val="007A425B"/>
    <w:rsid w:val="007A4271"/>
    <w:rsid w:val="007A618C"/>
    <w:rsid w:val="007B01BE"/>
    <w:rsid w:val="007B1C61"/>
    <w:rsid w:val="007B49F9"/>
    <w:rsid w:val="007B567C"/>
    <w:rsid w:val="007C0B00"/>
    <w:rsid w:val="007C1139"/>
    <w:rsid w:val="007C1E54"/>
    <w:rsid w:val="007C5910"/>
    <w:rsid w:val="007C5DA4"/>
    <w:rsid w:val="007C7518"/>
    <w:rsid w:val="007D2F99"/>
    <w:rsid w:val="007D4BA2"/>
    <w:rsid w:val="007E4920"/>
    <w:rsid w:val="007E50E6"/>
    <w:rsid w:val="007E515F"/>
    <w:rsid w:val="007E6795"/>
    <w:rsid w:val="007F0FF5"/>
    <w:rsid w:val="007F1864"/>
    <w:rsid w:val="007F333C"/>
    <w:rsid w:val="007F69DC"/>
    <w:rsid w:val="007F73BF"/>
    <w:rsid w:val="00802104"/>
    <w:rsid w:val="0080489E"/>
    <w:rsid w:val="00820807"/>
    <w:rsid w:val="00820DFE"/>
    <w:rsid w:val="00822CC4"/>
    <w:rsid w:val="0082457D"/>
    <w:rsid w:val="00825C38"/>
    <w:rsid w:val="00827740"/>
    <w:rsid w:val="008335F7"/>
    <w:rsid w:val="00844D7A"/>
    <w:rsid w:val="008468C1"/>
    <w:rsid w:val="00850CF4"/>
    <w:rsid w:val="00850D0F"/>
    <w:rsid w:val="00857F9D"/>
    <w:rsid w:val="0086247F"/>
    <w:rsid w:val="008630E6"/>
    <w:rsid w:val="00874D31"/>
    <w:rsid w:val="00880FA6"/>
    <w:rsid w:val="0088103F"/>
    <w:rsid w:val="00881E43"/>
    <w:rsid w:val="00882344"/>
    <w:rsid w:val="00892BC9"/>
    <w:rsid w:val="008A7C33"/>
    <w:rsid w:val="008B19DB"/>
    <w:rsid w:val="008B5AE7"/>
    <w:rsid w:val="008C139D"/>
    <w:rsid w:val="008C1CFC"/>
    <w:rsid w:val="008C686A"/>
    <w:rsid w:val="008C6C34"/>
    <w:rsid w:val="008D4936"/>
    <w:rsid w:val="008D5623"/>
    <w:rsid w:val="008D6A6A"/>
    <w:rsid w:val="008E18D1"/>
    <w:rsid w:val="008E33E8"/>
    <w:rsid w:val="008F561C"/>
    <w:rsid w:val="008F616E"/>
    <w:rsid w:val="008F6D9F"/>
    <w:rsid w:val="009019AC"/>
    <w:rsid w:val="009029E5"/>
    <w:rsid w:val="009036E9"/>
    <w:rsid w:val="00904C7F"/>
    <w:rsid w:val="00906545"/>
    <w:rsid w:val="00914B6D"/>
    <w:rsid w:val="00917439"/>
    <w:rsid w:val="00927098"/>
    <w:rsid w:val="00933897"/>
    <w:rsid w:val="00937260"/>
    <w:rsid w:val="00947CD1"/>
    <w:rsid w:val="00960706"/>
    <w:rsid w:val="009625D5"/>
    <w:rsid w:val="00981F15"/>
    <w:rsid w:val="00982A41"/>
    <w:rsid w:val="009862DF"/>
    <w:rsid w:val="00991111"/>
    <w:rsid w:val="00991901"/>
    <w:rsid w:val="009B1D60"/>
    <w:rsid w:val="009B4FD2"/>
    <w:rsid w:val="009B57F0"/>
    <w:rsid w:val="009B7DFA"/>
    <w:rsid w:val="009C6949"/>
    <w:rsid w:val="009D229C"/>
    <w:rsid w:val="009D6DC3"/>
    <w:rsid w:val="009D715C"/>
    <w:rsid w:val="009E02DC"/>
    <w:rsid w:val="009E0397"/>
    <w:rsid w:val="009E2AEB"/>
    <w:rsid w:val="009E2B9C"/>
    <w:rsid w:val="009E7B6C"/>
    <w:rsid w:val="009F2EB6"/>
    <w:rsid w:val="009F7C95"/>
    <w:rsid w:val="00A06A63"/>
    <w:rsid w:val="00A11669"/>
    <w:rsid w:val="00A14CBC"/>
    <w:rsid w:val="00A155B9"/>
    <w:rsid w:val="00A324FE"/>
    <w:rsid w:val="00A34567"/>
    <w:rsid w:val="00A36DB9"/>
    <w:rsid w:val="00A37CD0"/>
    <w:rsid w:val="00A419C9"/>
    <w:rsid w:val="00A449AA"/>
    <w:rsid w:val="00A46201"/>
    <w:rsid w:val="00A50217"/>
    <w:rsid w:val="00A55083"/>
    <w:rsid w:val="00A56FD2"/>
    <w:rsid w:val="00A60EBE"/>
    <w:rsid w:val="00A639C6"/>
    <w:rsid w:val="00A673C0"/>
    <w:rsid w:val="00A70BBE"/>
    <w:rsid w:val="00A71616"/>
    <w:rsid w:val="00A72444"/>
    <w:rsid w:val="00A8369F"/>
    <w:rsid w:val="00A92BE0"/>
    <w:rsid w:val="00A96CD7"/>
    <w:rsid w:val="00AA7562"/>
    <w:rsid w:val="00AB3F6E"/>
    <w:rsid w:val="00AB5BBF"/>
    <w:rsid w:val="00AB6AF1"/>
    <w:rsid w:val="00AC026B"/>
    <w:rsid w:val="00AC1A2E"/>
    <w:rsid w:val="00AD26E6"/>
    <w:rsid w:val="00AD48E5"/>
    <w:rsid w:val="00AD792F"/>
    <w:rsid w:val="00AD7D76"/>
    <w:rsid w:val="00AE1D16"/>
    <w:rsid w:val="00AE41BE"/>
    <w:rsid w:val="00AE4810"/>
    <w:rsid w:val="00AE5A85"/>
    <w:rsid w:val="00AE7072"/>
    <w:rsid w:val="00AF202B"/>
    <w:rsid w:val="00AF7C3E"/>
    <w:rsid w:val="00B013C4"/>
    <w:rsid w:val="00B057E6"/>
    <w:rsid w:val="00B11B7F"/>
    <w:rsid w:val="00B11D55"/>
    <w:rsid w:val="00B16767"/>
    <w:rsid w:val="00B16D76"/>
    <w:rsid w:val="00B170A8"/>
    <w:rsid w:val="00B17645"/>
    <w:rsid w:val="00B20653"/>
    <w:rsid w:val="00B22A43"/>
    <w:rsid w:val="00B23F75"/>
    <w:rsid w:val="00B2621D"/>
    <w:rsid w:val="00B2634E"/>
    <w:rsid w:val="00B2758E"/>
    <w:rsid w:val="00B3126B"/>
    <w:rsid w:val="00B32D55"/>
    <w:rsid w:val="00B34AD2"/>
    <w:rsid w:val="00B426DE"/>
    <w:rsid w:val="00B42FF3"/>
    <w:rsid w:val="00B44F48"/>
    <w:rsid w:val="00B46F1B"/>
    <w:rsid w:val="00B52087"/>
    <w:rsid w:val="00B55BA2"/>
    <w:rsid w:val="00B573B9"/>
    <w:rsid w:val="00B64CF6"/>
    <w:rsid w:val="00B64D9A"/>
    <w:rsid w:val="00B66085"/>
    <w:rsid w:val="00B71516"/>
    <w:rsid w:val="00B7255D"/>
    <w:rsid w:val="00B7562E"/>
    <w:rsid w:val="00B842DA"/>
    <w:rsid w:val="00BA1456"/>
    <w:rsid w:val="00BA7BB0"/>
    <w:rsid w:val="00BB0E45"/>
    <w:rsid w:val="00BB15A1"/>
    <w:rsid w:val="00BB64BE"/>
    <w:rsid w:val="00BC3C73"/>
    <w:rsid w:val="00BD0243"/>
    <w:rsid w:val="00BD7710"/>
    <w:rsid w:val="00BE17CA"/>
    <w:rsid w:val="00BE3831"/>
    <w:rsid w:val="00BF7F90"/>
    <w:rsid w:val="00C04784"/>
    <w:rsid w:val="00C0580F"/>
    <w:rsid w:val="00C10C38"/>
    <w:rsid w:val="00C1140D"/>
    <w:rsid w:val="00C153A1"/>
    <w:rsid w:val="00C17C5D"/>
    <w:rsid w:val="00C2460F"/>
    <w:rsid w:val="00C258F1"/>
    <w:rsid w:val="00C30E52"/>
    <w:rsid w:val="00C374F1"/>
    <w:rsid w:val="00C40800"/>
    <w:rsid w:val="00C41341"/>
    <w:rsid w:val="00C431FC"/>
    <w:rsid w:val="00C4788E"/>
    <w:rsid w:val="00C47C94"/>
    <w:rsid w:val="00C50093"/>
    <w:rsid w:val="00C529B3"/>
    <w:rsid w:val="00C55E8D"/>
    <w:rsid w:val="00C568D9"/>
    <w:rsid w:val="00C6249C"/>
    <w:rsid w:val="00C75299"/>
    <w:rsid w:val="00C76187"/>
    <w:rsid w:val="00C82555"/>
    <w:rsid w:val="00C95C5D"/>
    <w:rsid w:val="00CA01D0"/>
    <w:rsid w:val="00CA1FD7"/>
    <w:rsid w:val="00CA4FF2"/>
    <w:rsid w:val="00CA5D69"/>
    <w:rsid w:val="00CB4321"/>
    <w:rsid w:val="00CB7A32"/>
    <w:rsid w:val="00CB7A79"/>
    <w:rsid w:val="00CC03F3"/>
    <w:rsid w:val="00CD5665"/>
    <w:rsid w:val="00CD790A"/>
    <w:rsid w:val="00CE0D8E"/>
    <w:rsid w:val="00CE5082"/>
    <w:rsid w:val="00CE7B69"/>
    <w:rsid w:val="00CF22F9"/>
    <w:rsid w:val="00CF4D1E"/>
    <w:rsid w:val="00CF6780"/>
    <w:rsid w:val="00CF6C93"/>
    <w:rsid w:val="00D02164"/>
    <w:rsid w:val="00D079EB"/>
    <w:rsid w:val="00D17C90"/>
    <w:rsid w:val="00D20917"/>
    <w:rsid w:val="00D23EDE"/>
    <w:rsid w:val="00D24B48"/>
    <w:rsid w:val="00D32D70"/>
    <w:rsid w:val="00D40618"/>
    <w:rsid w:val="00D438AC"/>
    <w:rsid w:val="00D43C87"/>
    <w:rsid w:val="00D444E5"/>
    <w:rsid w:val="00D460FA"/>
    <w:rsid w:val="00D46F76"/>
    <w:rsid w:val="00D51015"/>
    <w:rsid w:val="00D526FB"/>
    <w:rsid w:val="00D549A8"/>
    <w:rsid w:val="00D627A5"/>
    <w:rsid w:val="00D630A6"/>
    <w:rsid w:val="00D667CC"/>
    <w:rsid w:val="00D67CAA"/>
    <w:rsid w:val="00D70FC6"/>
    <w:rsid w:val="00D71B2B"/>
    <w:rsid w:val="00D734A3"/>
    <w:rsid w:val="00D753FF"/>
    <w:rsid w:val="00D761CA"/>
    <w:rsid w:val="00D76A25"/>
    <w:rsid w:val="00D77CBB"/>
    <w:rsid w:val="00D85A43"/>
    <w:rsid w:val="00D86FC4"/>
    <w:rsid w:val="00D95AB0"/>
    <w:rsid w:val="00DA292D"/>
    <w:rsid w:val="00DB0E4D"/>
    <w:rsid w:val="00DB3D7F"/>
    <w:rsid w:val="00DB70BF"/>
    <w:rsid w:val="00DC2C41"/>
    <w:rsid w:val="00DC3684"/>
    <w:rsid w:val="00DC7E93"/>
    <w:rsid w:val="00DD531D"/>
    <w:rsid w:val="00DD6FC7"/>
    <w:rsid w:val="00DE09A0"/>
    <w:rsid w:val="00DE2913"/>
    <w:rsid w:val="00DE56A6"/>
    <w:rsid w:val="00DE6E78"/>
    <w:rsid w:val="00DF2E66"/>
    <w:rsid w:val="00E01BE0"/>
    <w:rsid w:val="00E01CD7"/>
    <w:rsid w:val="00E06C2F"/>
    <w:rsid w:val="00E07369"/>
    <w:rsid w:val="00E0750A"/>
    <w:rsid w:val="00E11C2E"/>
    <w:rsid w:val="00E16227"/>
    <w:rsid w:val="00E172DC"/>
    <w:rsid w:val="00E33500"/>
    <w:rsid w:val="00E342E6"/>
    <w:rsid w:val="00E419A4"/>
    <w:rsid w:val="00E4764F"/>
    <w:rsid w:val="00E51FD0"/>
    <w:rsid w:val="00E550E6"/>
    <w:rsid w:val="00E56EB8"/>
    <w:rsid w:val="00E75289"/>
    <w:rsid w:val="00E75732"/>
    <w:rsid w:val="00E8098F"/>
    <w:rsid w:val="00E856F3"/>
    <w:rsid w:val="00E905C2"/>
    <w:rsid w:val="00E9402F"/>
    <w:rsid w:val="00E96089"/>
    <w:rsid w:val="00E9687C"/>
    <w:rsid w:val="00E969BF"/>
    <w:rsid w:val="00E97A3C"/>
    <w:rsid w:val="00EA12EF"/>
    <w:rsid w:val="00EA36A9"/>
    <w:rsid w:val="00EA3CAE"/>
    <w:rsid w:val="00EA3D33"/>
    <w:rsid w:val="00EA471C"/>
    <w:rsid w:val="00EA6126"/>
    <w:rsid w:val="00EA77AD"/>
    <w:rsid w:val="00EB6A1D"/>
    <w:rsid w:val="00EC1855"/>
    <w:rsid w:val="00EC691F"/>
    <w:rsid w:val="00ED3F2E"/>
    <w:rsid w:val="00ED5BB3"/>
    <w:rsid w:val="00EE26C9"/>
    <w:rsid w:val="00EE6129"/>
    <w:rsid w:val="00EF4186"/>
    <w:rsid w:val="00EF47CE"/>
    <w:rsid w:val="00EF7DA8"/>
    <w:rsid w:val="00F0270B"/>
    <w:rsid w:val="00F047C7"/>
    <w:rsid w:val="00F06271"/>
    <w:rsid w:val="00F0755F"/>
    <w:rsid w:val="00F13AB6"/>
    <w:rsid w:val="00F14AD9"/>
    <w:rsid w:val="00F238CE"/>
    <w:rsid w:val="00F32EE4"/>
    <w:rsid w:val="00F41DBE"/>
    <w:rsid w:val="00F5315C"/>
    <w:rsid w:val="00F54307"/>
    <w:rsid w:val="00F77493"/>
    <w:rsid w:val="00F80EE2"/>
    <w:rsid w:val="00F84F1C"/>
    <w:rsid w:val="00F876B5"/>
    <w:rsid w:val="00F90222"/>
    <w:rsid w:val="00F97541"/>
    <w:rsid w:val="00FA382E"/>
    <w:rsid w:val="00FB1427"/>
    <w:rsid w:val="00FC16E8"/>
    <w:rsid w:val="00FC5C13"/>
    <w:rsid w:val="00FD44CB"/>
    <w:rsid w:val="00FE026A"/>
    <w:rsid w:val="00FE4082"/>
    <w:rsid w:val="00FE7F7F"/>
    <w:rsid w:val="00FF0962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F0663"/>
  <w15:docId w15:val="{8D9FD268-B0BF-49D3-B752-FED7D1C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0E4D"/>
    <w:pPr>
      <w:widowControl w:val="0"/>
      <w:spacing w:before="30"/>
    </w:pPr>
    <w:rPr>
      <w:rFonts w:ascii="Calibri" w:eastAsia="Calibri" w:hAnsi="Calibri" w:cs="Calibri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99"/>
    <w:qFormat/>
    <w:rsid w:val="001A0B7F"/>
    <w:rPr>
      <w:b/>
      <w:bCs/>
    </w:rPr>
  </w:style>
  <w:style w:type="character" w:styleId="Hypertextovodkaz">
    <w:name w:val="Hyperlink"/>
    <w:rsid w:val="00960706"/>
    <w:rPr>
      <w:color w:val="00A7EA"/>
      <w:u w:val="single"/>
    </w:rPr>
  </w:style>
  <w:style w:type="paragraph" w:styleId="Textbubliny">
    <w:name w:val="Balloon Text"/>
    <w:basedOn w:val="Normln"/>
    <w:semiHidden/>
    <w:rsid w:val="007A0F9A"/>
    <w:rPr>
      <w:rFonts w:ascii="Tahoma" w:hAnsi="Tahoma" w:cs="Tahoma"/>
      <w:sz w:val="16"/>
      <w:szCs w:val="16"/>
    </w:rPr>
  </w:style>
  <w:style w:type="paragraph" w:customStyle="1" w:styleId="MainHeadline">
    <w:name w:val="Main Headline"/>
    <w:basedOn w:val="Normln"/>
    <w:next w:val="Sub-Headline"/>
    <w:rsid w:val="002949F4"/>
    <w:pPr>
      <w:spacing w:before="0"/>
    </w:pPr>
    <w:rPr>
      <w:rFonts w:ascii="Arial" w:eastAsia="Arial" w:hAnsi="Arial" w:cs="Arial"/>
      <w:b/>
      <w:bCs/>
      <w:iCs/>
      <w:sz w:val="28"/>
      <w:szCs w:val="28"/>
    </w:rPr>
  </w:style>
  <w:style w:type="paragraph" w:customStyle="1" w:styleId="Sub-Headline">
    <w:name w:val="Sub-Headline"/>
    <w:basedOn w:val="Normln"/>
    <w:next w:val="Normln"/>
    <w:uiPriority w:val="99"/>
    <w:rsid w:val="00ED794A"/>
    <w:pPr>
      <w:shd w:val="clear" w:color="auto" w:fill="FFFFFF"/>
      <w:spacing w:before="100" w:after="100"/>
    </w:pPr>
    <w:rPr>
      <w:rFonts w:ascii="Arial" w:eastAsia="Arial" w:hAnsi="Arial" w:cs="PMingLiU"/>
      <w:i/>
      <w:iCs/>
      <w:color w:val="000000"/>
      <w:szCs w:val="20"/>
    </w:rPr>
  </w:style>
  <w:style w:type="paragraph" w:customStyle="1" w:styleId="pCompanyProfilo">
    <w:name w:val="p_CompanyProfilo"/>
    <w:basedOn w:val="Normln"/>
    <w:rsid w:val="001A7458"/>
    <w:pPr>
      <w:jc w:val="both"/>
    </w:pPr>
    <w:rPr>
      <w:rFonts w:cs="PMingLiU"/>
    </w:rPr>
  </w:style>
  <w:style w:type="paragraph" w:customStyle="1" w:styleId="Endnote">
    <w:name w:val="End note"/>
    <w:basedOn w:val="Normln"/>
    <w:rsid w:val="001A7458"/>
    <w:pPr>
      <w:jc w:val="center"/>
    </w:pPr>
    <w:rPr>
      <w:rFonts w:cs="PMingLiU"/>
      <w:szCs w:val="20"/>
    </w:rPr>
  </w:style>
  <w:style w:type="paragraph" w:customStyle="1" w:styleId="ContactInformation">
    <w:name w:val="ContactInformation"/>
    <w:basedOn w:val="Normln"/>
    <w:rsid w:val="00B364E3"/>
    <w:pPr>
      <w:spacing w:before="0"/>
    </w:pPr>
    <w:rPr>
      <w:rFonts w:cs="PMingLiU"/>
    </w:rPr>
  </w:style>
  <w:style w:type="character" w:customStyle="1" w:styleId="xn-location">
    <w:name w:val="xn-location"/>
    <w:basedOn w:val="Standardnpsmoodstavce"/>
    <w:rsid w:val="005B595A"/>
  </w:style>
  <w:style w:type="character" w:customStyle="1" w:styleId="xn-chron">
    <w:name w:val="xn-chron"/>
    <w:basedOn w:val="Standardnpsmoodstavce"/>
    <w:rsid w:val="005B595A"/>
  </w:style>
  <w:style w:type="paragraph" w:styleId="Zhlav">
    <w:name w:val="header"/>
    <w:basedOn w:val="Normln"/>
    <w:rsid w:val="0007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072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Mkatabulky">
    <w:name w:val="Table Grid"/>
    <w:basedOn w:val="Normlntabulka"/>
    <w:rsid w:val="00241C8E"/>
    <w:pPr>
      <w:widowControl w:val="0"/>
      <w:spacing w:before="3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3158A"/>
    <w:pPr>
      <w:widowControl/>
      <w:spacing w:before="100" w:beforeAutospacing="1" w:after="100" w:afterAutospacing="1"/>
    </w:pPr>
    <w:rPr>
      <w:rFonts w:ascii="PMingLiU" w:eastAsia="PMingLiU" w:hAnsi="PMingLiU" w:cs="PMingLiU"/>
    </w:rPr>
  </w:style>
  <w:style w:type="character" w:customStyle="1" w:styleId="adatat10pathnow1">
    <w:name w:val="adata_t10_path_now1"/>
    <w:rsid w:val="00581E0E"/>
    <w:rPr>
      <w:rFonts w:ascii="Arial" w:hAnsi="Arial" w:cs="Arial" w:hint="default"/>
      <w:color w:val="02328D"/>
      <w:spacing w:val="0"/>
      <w:sz w:val="15"/>
      <w:szCs w:val="15"/>
    </w:rPr>
  </w:style>
  <w:style w:type="character" w:customStyle="1" w:styleId="apple-converted-space">
    <w:name w:val="apple-converted-space"/>
    <w:basedOn w:val="Standardnpsmoodstavce"/>
    <w:rsid w:val="00CE04EB"/>
  </w:style>
  <w:style w:type="character" w:styleId="Sledovanodkaz">
    <w:name w:val="FollowedHyperlink"/>
    <w:rsid w:val="007E1A5C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5C2E97"/>
  </w:style>
  <w:style w:type="paragraph" w:styleId="Odstavecseseznamem">
    <w:name w:val="List Paragraph"/>
    <w:basedOn w:val="Normln"/>
    <w:uiPriority w:val="34"/>
    <w:qFormat/>
    <w:rsid w:val="00B42B27"/>
    <w:pPr>
      <w:widowControl/>
      <w:spacing w:before="0"/>
      <w:ind w:leftChars="200" w:left="480"/>
    </w:pPr>
    <w:rPr>
      <w:rFonts w:ascii="PMingLiU" w:eastAsia="PMingLiU" w:hAnsi="PMingLiU" w:cs="PMingLiU"/>
    </w:rPr>
  </w:style>
  <w:style w:type="character" w:styleId="Odkaznakoment">
    <w:name w:val="annotation reference"/>
    <w:rsid w:val="00973DED"/>
    <w:rPr>
      <w:sz w:val="18"/>
      <w:szCs w:val="18"/>
    </w:rPr>
  </w:style>
  <w:style w:type="paragraph" w:styleId="Textkomente">
    <w:name w:val="annotation text"/>
    <w:basedOn w:val="Normln"/>
    <w:link w:val="TextkomenteChar"/>
    <w:rsid w:val="00973DED"/>
  </w:style>
  <w:style w:type="character" w:customStyle="1" w:styleId="TextkomenteChar">
    <w:name w:val="Text komentáře Char"/>
    <w:link w:val="Textkomente"/>
    <w:rsid w:val="00973DED"/>
    <w:rPr>
      <w:rFonts w:ascii="Calibri" w:eastAsia="Calibri" w:hAnsi="Calibri" w:cs="Calibri"/>
      <w:kern w:val="2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973DED"/>
    <w:rPr>
      <w:b/>
      <w:bCs/>
    </w:rPr>
  </w:style>
  <w:style w:type="character" w:customStyle="1" w:styleId="PedmtkomenteChar">
    <w:name w:val="Předmět komentáře Char"/>
    <w:link w:val="Pedmtkomente"/>
    <w:rsid w:val="00973DED"/>
    <w:rPr>
      <w:rFonts w:ascii="Calibri" w:eastAsia="Calibri" w:hAnsi="Calibri" w:cs="Calibri"/>
      <w:b/>
      <w:bCs/>
      <w:kern w:val="2"/>
      <w:sz w:val="24"/>
      <w:szCs w:val="24"/>
    </w:rPr>
  </w:style>
  <w:style w:type="character" w:customStyle="1" w:styleId="st1">
    <w:name w:val="st1"/>
    <w:rsid w:val="001E757D"/>
  </w:style>
  <w:style w:type="character" w:styleId="Nevyeenzmnka">
    <w:name w:val="Unresolved Mention"/>
    <w:basedOn w:val="Standardnpsmoodstavce"/>
    <w:uiPriority w:val="99"/>
    <w:semiHidden/>
    <w:unhideWhenUsed/>
    <w:rsid w:val="008F6D9F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8F6D9F"/>
    <w:rPr>
      <w:rFonts w:ascii="Calibri" w:eastAsia="Calibri" w:hAnsi="Calibri" w:cs="Calibri"/>
      <w:kern w:val="2"/>
    </w:rPr>
  </w:style>
  <w:style w:type="paragraph" w:styleId="Revize">
    <w:name w:val="Revision"/>
    <w:hidden/>
    <w:uiPriority w:val="99"/>
    <w:semiHidden/>
    <w:rsid w:val="00A46201"/>
    <w:rPr>
      <w:rFonts w:ascii="Calibri" w:eastAsia="Calibri" w:hAnsi="Calibri" w:cs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kotyk@grun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dat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libersky@grunex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1E8F-79AB-444F-A3D2-CEFBBEEA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ADATA Press Release</vt:lpstr>
      <vt:lpstr>ADATA Unveils XPG Gaming Series V2</vt:lpstr>
    </vt:vector>
  </TitlesOfParts>
  <Company>ADATA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ADATA Press Release</dc:title>
  <dc:creator>Grunex</dc:creator>
  <cp:keywords>ADATA</cp:keywords>
  <cp:lastModifiedBy>Václav Kotyk</cp:lastModifiedBy>
  <cp:revision>5</cp:revision>
  <cp:lastPrinted>2014-06-12T05:52:00Z</cp:lastPrinted>
  <dcterms:created xsi:type="dcterms:W3CDTF">2026-05-06T08:28:00Z</dcterms:created>
  <dcterms:modified xsi:type="dcterms:W3CDTF">2026-05-10T13:41:00Z</dcterms:modified>
</cp:coreProperties>
</file>