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6AD6E" w14:textId="77777777" w:rsidR="007945B3" w:rsidRPr="000868B7" w:rsidRDefault="007945B3" w:rsidP="008F6D9F">
      <w:pPr>
        <w:kinsoku w:val="0"/>
        <w:spacing w:before="0" w:after="120"/>
        <w:jc w:val="center"/>
        <w:rPr>
          <w:rFonts w:asciiTheme="minorHAnsi" w:hAnsiTheme="minorHAnsi" w:cstheme="minorHAnsi"/>
          <w:b/>
          <w:bCs/>
          <w:kern w:val="0"/>
          <w:sz w:val="28"/>
          <w:szCs w:val="28"/>
          <w:lang w:val="cs-CZ"/>
        </w:rPr>
      </w:pPr>
    </w:p>
    <w:p w14:paraId="7B0563F9" w14:textId="77777777" w:rsidR="00690DF6" w:rsidRPr="000868B7" w:rsidRDefault="00690DF6" w:rsidP="00690DF6">
      <w:pPr>
        <w:widowControl/>
        <w:spacing w:before="0" w:after="120"/>
        <w:jc w:val="center"/>
        <w:rPr>
          <w:rFonts w:asciiTheme="minorHAnsi" w:hAnsiTheme="minorHAnsi" w:cstheme="minorHAnsi"/>
          <w:b/>
          <w:bCs/>
          <w:kern w:val="0"/>
          <w:sz w:val="28"/>
          <w:szCs w:val="28"/>
          <w:lang w:val="cs-CZ"/>
        </w:rPr>
      </w:pPr>
      <w:bookmarkStart w:id="0" w:name="_Hlk218603875"/>
      <w:bookmarkStart w:id="1" w:name="_Hlk200011200"/>
      <w:bookmarkStart w:id="2" w:name="_Hlk180573218"/>
      <w:bookmarkStart w:id="3" w:name="_Hlk175996434"/>
      <w:r w:rsidRPr="000868B7">
        <w:rPr>
          <w:rFonts w:asciiTheme="minorHAnsi" w:hAnsiTheme="minorHAnsi" w:cstheme="minorHAnsi"/>
          <w:b/>
          <w:bCs/>
          <w:kern w:val="0"/>
          <w:sz w:val="28"/>
          <w:szCs w:val="28"/>
          <w:lang w:val="cs-CZ"/>
        </w:rPr>
        <w:t>ADATA představuje nové AI technologie na veletrhu COMPUTEX 2026</w:t>
      </w:r>
    </w:p>
    <w:p w14:paraId="0A5E3B81" w14:textId="427470FE" w:rsidR="00690DF6" w:rsidRPr="000868B7" w:rsidRDefault="00690DF6" w:rsidP="00690DF6">
      <w:pPr>
        <w:widowControl/>
        <w:spacing w:before="0" w:after="120"/>
        <w:jc w:val="center"/>
        <w:rPr>
          <w:rFonts w:asciiTheme="minorHAnsi" w:hAnsiTheme="minorHAnsi" w:cstheme="minorHAnsi"/>
          <w:i/>
          <w:iCs/>
          <w:kern w:val="0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i/>
          <w:iCs/>
          <w:kern w:val="0"/>
          <w:sz w:val="22"/>
          <w:szCs w:val="22"/>
          <w:lang w:val="cs-CZ"/>
        </w:rPr>
        <w:t xml:space="preserve">Naplno odemyká potenciál umělé inteligence a ukazuje bezproblémovou integraci od cloudu až po edge </w:t>
      </w:r>
      <w:proofErr w:type="spellStart"/>
      <w:r w:rsidRPr="000868B7">
        <w:rPr>
          <w:rFonts w:asciiTheme="minorHAnsi" w:hAnsiTheme="minorHAnsi" w:cstheme="minorHAnsi"/>
          <w:i/>
          <w:iCs/>
          <w:kern w:val="0"/>
          <w:sz w:val="22"/>
          <w:szCs w:val="22"/>
          <w:lang w:val="cs-CZ"/>
        </w:rPr>
        <w:t>computing</w:t>
      </w:r>
      <w:proofErr w:type="spellEnd"/>
    </w:p>
    <w:p w14:paraId="1240F1B4" w14:textId="55E572D1" w:rsidR="0035211F" w:rsidRPr="000868B7" w:rsidRDefault="0035211F" w:rsidP="0035211F">
      <w:pPr>
        <w:widowControl/>
        <w:spacing w:before="0" w:after="120"/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</w:pPr>
      <w:proofErr w:type="spellStart"/>
      <w:r w:rsidRPr="000868B7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val="cs-CZ" w:eastAsia="zh-CN"/>
        </w:rPr>
        <w:t>Taipei</w:t>
      </w:r>
      <w:proofErr w:type="spellEnd"/>
      <w:r w:rsidRPr="000868B7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val="cs-CZ" w:eastAsia="zh-CN"/>
        </w:rPr>
        <w:t xml:space="preserve">, Taiwan, </w:t>
      </w:r>
      <w:r w:rsidR="00690DF6" w:rsidRPr="000868B7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val="cs-CZ" w:eastAsia="zh-CN"/>
        </w:rPr>
        <w:t>27</w:t>
      </w:r>
      <w:r w:rsidRPr="000868B7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val="cs-CZ" w:eastAsia="zh-CN"/>
        </w:rPr>
        <w:t xml:space="preserve">. </w:t>
      </w:r>
      <w:r w:rsidR="008630E6" w:rsidRPr="000868B7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val="cs-CZ" w:eastAsia="zh-CN"/>
        </w:rPr>
        <w:t>5</w:t>
      </w:r>
      <w:r w:rsidRPr="000868B7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val="cs-CZ" w:eastAsia="zh-CN"/>
        </w:rPr>
        <w:t>. 202</w:t>
      </w:r>
      <w:r w:rsidR="00614A86" w:rsidRPr="000868B7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val="cs-CZ" w:eastAsia="zh-CN"/>
        </w:rPr>
        <w:t>6</w:t>
      </w:r>
      <w:r w:rsidRPr="000868B7"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  <w:t xml:space="preserve"> – </w:t>
      </w:r>
      <w:r w:rsidR="00690DF6" w:rsidRPr="000868B7"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  <w:t xml:space="preserve">Společnost ADATA Technology, globální lídr v oblasti paměťových modulů a </w:t>
      </w:r>
      <w:proofErr w:type="spellStart"/>
      <w:r w:rsidR="00690DF6" w:rsidRPr="000868B7"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  <w:t>flash</w:t>
      </w:r>
      <w:r w:rsidR="00BA68FD" w:rsidRPr="000868B7"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  <w:t>ových</w:t>
      </w:r>
      <w:proofErr w:type="spellEnd"/>
      <w:r w:rsidR="00690DF6" w:rsidRPr="000868B7"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  <w:t xml:space="preserve"> úložišť, představí na veletrhu COMPUTEX TAIPEI 2026 své nejnovější inovace pod hlavním mottem „</w:t>
      </w:r>
      <w:r w:rsidR="00BA68FD" w:rsidRPr="000868B7"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  <w:t>Aktivujte jádro AI</w:t>
      </w:r>
      <w:r w:rsidR="00690DF6" w:rsidRPr="000868B7"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  <w:t xml:space="preserve">“. Kromě značky ADATA se představí také podniková </w:t>
      </w:r>
      <w:proofErr w:type="spellStart"/>
      <w:r w:rsidR="00690DF6" w:rsidRPr="000868B7"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  <w:t>storage</w:t>
      </w:r>
      <w:proofErr w:type="spellEnd"/>
      <w:r w:rsidR="00690DF6" w:rsidRPr="000868B7"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  <w:t xml:space="preserve"> značka TRUSTA, divize průmyslových </w:t>
      </w:r>
      <w:proofErr w:type="spellStart"/>
      <w:r w:rsidR="00690DF6" w:rsidRPr="000868B7"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  <w:t>embedded</w:t>
      </w:r>
      <w:proofErr w:type="spellEnd"/>
      <w:r w:rsidR="00690DF6" w:rsidRPr="000868B7"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  <w:t xml:space="preserve"> úložišť ADATA </w:t>
      </w:r>
      <w:proofErr w:type="spellStart"/>
      <w:r w:rsidR="00690DF6" w:rsidRPr="000868B7"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  <w:t>Industrial</w:t>
      </w:r>
      <w:proofErr w:type="spellEnd"/>
      <w:r w:rsidR="00690DF6" w:rsidRPr="000868B7"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  <w:t xml:space="preserve">, herní značka XPG a globální lídr v oblasti </w:t>
      </w:r>
      <w:proofErr w:type="spellStart"/>
      <w:r w:rsidR="00690DF6" w:rsidRPr="000868B7"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  <w:t>AIoT</w:t>
      </w:r>
      <w:proofErr w:type="spellEnd"/>
      <w:r w:rsidR="00690DF6" w:rsidRPr="000868B7"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  <w:t xml:space="preserve"> řešení </w:t>
      </w:r>
      <w:proofErr w:type="spellStart"/>
      <w:r w:rsidR="00690DF6" w:rsidRPr="000868B7"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  <w:t>ATrack</w:t>
      </w:r>
      <w:proofErr w:type="spellEnd"/>
      <w:r w:rsidR="00690DF6" w:rsidRPr="000868B7"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  <w:t xml:space="preserve"> Technology.</w:t>
      </w:r>
    </w:p>
    <w:p w14:paraId="5BC3E089" w14:textId="28C76757" w:rsidR="00690DF6" w:rsidRPr="000868B7" w:rsidRDefault="00690DF6" w:rsidP="00690DF6">
      <w:pPr>
        <w:widowControl/>
        <w:spacing w:before="0" w:after="120"/>
        <w:jc w:val="both"/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</w:pPr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Od 2. do 5. června představí ADATA svou strategii AI ekosystému pokrývající celé spektrum od cloudových řešení až po edge </w:t>
      </w:r>
      <w:proofErr w:type="spellStart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computing</w:t>
      </w:r>
      <w:proofErr w:type="spellEnd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napříč širokou škálou aplikačních scénářů. Současně bude 2. června spuštěn také online microsite projekt, který návštěvníkům nabídne </w:t>
      </w:r>
      <w:r w:rsidR="008D2B03"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okamžitý</w:t>
      </w:r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AI zážitek a pohled do budoucnosti chytrého života poháněného technologiemi.</w:t>
      </w:r>
    </w:p>
    <w:p w14:paraId="0489D22C" w14:textId="1EF4996E" w:rsidR="00690DF6" w:rsidRPr="000868B7" w:rsidRDefault="00690DF6" w:rsidP="00690DF6">
      <w:pPr>
        <w:widowControl/>
        <w:spacing w:before="0" w:after="120"/>
        <w:jc w:val="both"/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</w:pPr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Letošní prezentace </w:t>
      </w:r>
      <w:r w:rsidR="00BA68FD"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společnosti </w:t>
      </w:r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ADATA se zaměří na dynamický rozvoj </w:t>
      </w:r>
      <w:r w:rsidR="008D2B03"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vysoce výkonných výpočtů s využitím umělé inteligence (AI </w:t>
      </w:r>
      <w:proofErr w:type="spellStart"/>
      <w:r w:rsidR="008D2B03"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high</w:t>
      </w:r>
      <w:proofErr w:type="spellEnd"/>
      <w:r w:rsidR="008D2B03"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-performance </w:t>
      </w:r>
      <w:proofErr w:type="spellStart"/>
      <w:r w:rsidR="008D2B03"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computing</w:t>
      </w:r>
      <w:proofErr w:type="spellEnd"/>
      <w:r w:rsidR="008D2B03"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) </w:t>
      </w:r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a inteligentního životního stylu. Pod vedením značky TRUSTA společnost představí řešení TRUSTA AI </w:t>
      </w:r>
      <w:proofErr w:type="spellStart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Scaler</w:t>
      </w:r>
      <w:proofErr w:type="spellEnd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, které dokáže snížit náklady na nasazení AI o více než 50 %. Součástí expozice budou také široké možnosti využití AI technologií – od robotických ramen poháněných platformami NVIDIA </w:t>
      </w:r>
      <w:proofErr w:type="spellStart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Jetson</w:t>
      </w:r>
      <w:proofErr w:type="spellEnd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Thor a NVIDIA </w:t>
      </w:r>
      <w:proofErr w:type="spellStart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NemoClaw</w:t>
      </w:r>
      <w:proofErr w:type="spellEnd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, přes technologii digitálních dvojčat Real-to-Sim-to-Real (R2S2R), SSD disků </w:t>
      </w:r>
      <w:proofErr w:type="spellStart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PCIe</w:t>
      </w:r>
      <w:proofErr w:type="spellEnd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Gen5, AI počítačů a chytrých </w:t>
      </w:r>
      <w:r w:rsidR="008D2B03"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nositelných zařízení</w:t>
      </w:r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až po pohlcující herní zážitky značky XPG.</w:t>
      </w:r>
    </w:p>
    <w:p w14:paraId="365092C3" w14:textId="77777777" w:rsidR="00690DF6" w:rsidRPr="000868B7" w:rsidRDefault="00690DF6" w:rsidP="00690DF6">
      <w:pPr>
        <w:widowControl/>
        <w:spacing w:before="0" w:after="120"/>
        <w:jc w:val="both"/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</w:pPr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ADATA zároveň představí společné inovace s předními globálními značkami, mezi které patří NVIDIA, Intel, </w:t>
      </w:r>
      <w:proofErr w:type="spellStart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Advantech</w:t>
      </w:r>
      <w:proofErr w:type="spellEnd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, ASUS ROG, MSI, GIGABYTE, </w:t>
      </w:r>
      <w:proofErr w:type="spellStart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ASRock</w:t>
      </w:r>
      <w:proofErr w:type="spellEnd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a </w:t>
      </w:r>
      <w:proofErr w:type="spellStart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Razer</w:t>
      </w:r>
      <w:proofErr w:type="spellEnd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, a demonstruje tak své komplexní inovační schopnosti i úspěchy v oblasti mezioborové integrace v éře umělé inteligence.</w:t>
      </w:r>
    </w:p>
    <w:p w14:paraId="44CFA9F5" w14:textId="77777777" w:rsidR="00690DF6" w:rsidRPr="000868B7" w:rsidRDefault="00690DF6" w:rsidP="0035211F">
      <w:pPr>
        <w:widowControl/>
        <w:spacing w:before="0" w:after="12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</w:pPr>
      <w:r w:rsidRPr="000868B7"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  <w:t>TRUSTA urychluje adopci podnikové AI a snižuje náklady na nasazení o více než 50 %</w:t>
      </w:r>
    </w:p>
    <w:p w14:paraId="176048C1" w14:textId="0AAE083A" w:rsidR="00690DF6" w:rsidRPr="000868B7" w:rsidRDefault="00690DF6" w:rsidP="00690DF6">
      <w:pPr>
        <w:widowControl/>
        <w:spacing w:before="0" w:after="120"/>
        <w:jc w:val="both"/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</w:pPr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S pokračujícím rozvojem generativní AI a velkých jazykových modelů (LLM) roste poptávka po efektivním a ekonomicky výhodném lokálním nasazení umělé inteligence. Firemní </w:t>
      </w:r>
      <w:proofErr w:type="spellStart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storage</w:t>
      </w:r>
      <w:proofErr w:type="spellEnd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značka ADATA TRUSTA proto na veletrhu </w:t>
      </w:r>
      <w:proofErr w:type="spellStart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Computex</w:t>
      </w:r>
      <w:proofErr w:type="spellEnd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představí oceňované řešení </w:t>
      </w:r>
      <w:r w:rsidR="008D2B03"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pro rozšíření paměti TRUSTA AI </w:t>
      </w:r>
      <w:proofErr w:type="spellStart"/>
      <w:r w:rsidR="008D2B03"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Scaler</w:t>
      </w:r>
      <w:proofErr w:type="spellEnd"/>
      <w:r w:rsidR="00E04D8F"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,</w:t>
      </w:r>
      <w:r w:rsidR="008D2B03"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</w:t>
      </w:r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společně s</w:t>
      </w:r>
      <w:r w:rsidR="008D2B03"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e softwarovou sadou nástrojů</w:t>
      </w:r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TRUSTA AI </w:t>
      </w:r>
      <w:proofErr w:type="spellStart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Scaler</w:t>
      </w:r>
      <w:proofErr w:type="spellEnd"/>
      <w:r w:rsidR="00772B77"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</w:t>
      </w:r>
      <w:proofErr w:type="spellStart"/>
      <w:r w:rsidR="00772B77"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Tookit</w:t>
      </w:r>
      <w:proofErr w:type="spellEnd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.</w:t>
      </w:r>
    </w:p>
    <w:p w14:paraId="63D3D5D3" w14:textId="4F035E15" w:rsidR="00690DF6" w:rsidRPr="000868B7" w:rsidRDefault="00690DF6" w:rsidP="00690DF6">
      <w:pPr>
        <w:widowControl/>
        <w:spacing w:before="0" w:after="120"/>
        <w:jc w:val="both"/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</w:pPr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Řešení dynamicky alokuje zdroje GPU paměti, DRAM a SSD podle aktuálních požadavků </w:t>
      </w:r>
      <w:proofErr w:type="spellStart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workloadu</w:t>
      </w:r>
      <w:proofErr w:type="spellEnd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, čímž </w:t>
      </w:r>
      <w:r w:rsidR="00E04D8F"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díky hybridní architektuře </w:t>
      </w:r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výrazně omezuje závislost na drahých </w:t>
      </w:r>
      <w:proofErr w:type="spellStart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high</w:t>
      </w:r>
      <w:proofErr w:type="spellEnd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-end GPU. Nasazení AI pro trénování i inferenci tak může být díky řešení TRUSTA AI </w:t>
      </w:r>
      <w:proofErr w:type="spellStart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Scaler</w:t>
      </w:r>
      <w:proofErr w:type="spellEnd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zlevněno o více než 50 %.</w:t>
      </w:r>
      <w:r w:rsidR="00E04D8F"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</w:t>
      </w:r>
    </w:p>
    <w:p w14:paraId="50BEE4F4" w14:textId="77777777" w:rsidR="00690DF6" w:rsidRPr="000868B7" w:rsidRDefault="00690DF6" w:rsidP="00690DF6">
      <w:pPr>
        <w:widowControl/>
        <w:spacing w:before="0" w:after="120"/>
        <w:jc w:val="both"/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</w:pPr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lastRenderedPageBreak/>
        <w:t xml:space="preserve">Software TRUSTA AI </w:t>
      </w:r>
      <w:proofErr w:type="spellStart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Scaler</w:t>
      </w:r>
      <w:proofErr w:type="spellEnd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</w:t>
      </w:r>
      <w:proofErr w:type="spellStart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Toolkit</w:t>
      </w:r>
      <w:proofErr w:type="spellEnd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bude od 28. května dostupný ke stažení zdarma. Nabízí otevřenou architekturu umožňující flexibilní integraci i škálovatelné nasazení. TRUSTA zároveň představí podnikové SSD TD7P51 ECO </w:t>
      </w:r>
      <w:proofErr w:type="spellStart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PCIe</w:t>
      </w:r>
      <w:proofErr w:type="spellEnd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Gen5, které rozšiřuje portfolio Gen5 SSD společnosti o řešení optimalizované pro flexibilní podnikové nasazení a současně navazuje na úspěšnou vícegenerační spolupráci se společností FADU.</w:t>
      </w:r>
    </w:p>
    <w:p w14:paraId="466254A9" w14:textId="77777777" w:rsidR="00690DF6" w:rsidRPr="000868B7" w:rsidRDefault="00690DF6" w:rsidP="00690DF6">
      <w:pPr>
        <w:widowControl/>
        <w:spacing w:before="0" w:after="120"/>
        <w:jc w:val="both"/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</w:pPr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Disk nabídne kapacitu až 15,36 TB a podporu formátů U.2, E1.S a E3.S. Díky technologii </w:t>
      </w:r>
      <w:proofErr w:type="spellStart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Flexible</w:t>
      </w:r>
      <w:proofErr w:type="spellEnd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Data </w:t>
      </w:r>
      <w:proofErr w:type="spellStart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Placement</w:t>
      </w:r>
      <w:proofErr w:type="spellEnd"/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(FDP) zajišťuje vyšší konzistenci výkonu a provozní efektivitu prostřednictvím inteligentního umisťování dat.</w:t>
      </w:r>
    </w:p>
    <w:p w14:paraId="4556A013" w14:textId="77777777" w:rsidR="00690DF6" w:rsidRPr="000868B7" w:rsidRDefault="00690DF6" w:rsidP="00690DF6">
      <w:pPr>
        <w:widowControl/>
        <w:spacing w:before="0" w:after="120"/>
        <w:jc w:val="both"/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</w:pPr>
      <w:r w:rsidRPr="000868B7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Řešení TRUSTA, ověřená předními světovými serverovými platformami, poskytují výkon, spolehlivost a škálovatelnost potřebné pro novou generaci AI, cloudových řešení a datových center.</w:t>
      </w:r>
    </w:p>
    <w:bookmarkEnd w:id="0"/>
    <w:bookmarkEnd w:id="1"/>
    <w:p w14:paraId="2E4B7891" w14:textId="77777777" w:rsidR="00690DF6" w:rsidRPr="000868B7" w:rsidRDefault="00690DF6" w:rsidP="00B32D55">
      <w:pPr>
        <w:kinsoku w:val="0"/>
        <w:spacing w:before="0" w:after="12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</w:pPr>
      <w:r w:rsidRPr="000868B7"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  <w:t>ADATA ve spolupráci s Intelem posouvá AI na úroveň osobních počítačů</w:t>
      </w:r>
    </w:p>
    <w:p w14:paraId="5EB604E1" w14:textId="132A74C3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V rámci programu Intel Innovation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Pass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Program </w:t>
      </w:r>
      <w:r w:rsidR="00772B77"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představí ADATA </w:t>
      </w: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na veletrhu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Computex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AI řešení kombinující ADATA AI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Scaler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Toolkit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s procesory Intel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Core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Ultra. Na základech podnikové AI infrastruktury TRUSTA rozšiřuje ADATA technologii AI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Scaler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také do segmentu osobních počítačů, což umožní efektivní provoz rozsáhlých AI modelů přímo na osobních zařízeních, jako jsou notebooky nebo systémy Intel NUC.</w:t>
      </w:r>
    </w:p>
    <w:p w14:paraId="7E9F7DA3" w14:textId="23281A1F" w:rsidR="00263AD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Tento krok přispívá k přesunu AI výpočetního výkonu z datových center směrem ke spotřebitelským počítačům a edge aplikacím. ADATA zároveň představí základní desky Intel Z890 v kombinaci s paměťmi ADATA 4R CUDIMM, které zdůrazní výhody vysokokapacitních pamětí pro AI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workloady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a rozšíří možnosti výkonného AI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computingu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na PC platformách.</w:t>
      </w:r>
    </w:p>
    <w:p w14:paraId="1A16E9A3" w14:textId="1B651936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  <w:t xml:space="preserve">ADATA </w:t>
      </w:r>
      <w:proofErr w:type="spellStart"/>
      <w:r w:rsidRPr="000868B7"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  <w:t>Industrial</w:t>
      </w:r>
      <w:proofErr w:type="spellEnd"/>
      <w:r w:rsidRPr="000868B7"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  <w:t xml:space="preserve"> a </w:t>
      </w:r>
      <w:proofErr w:type="spellStart"/>
      <w:r w:rsidRPr="000868B7"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  <w:t>ATrack</w:t>
      </w:r>
      <w:proofErr w:type="spellEnd"/>
      <w:r w:rsidRPr="000868B7"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  <w:t xml:space="preserve"> urychlují další vlnu inovací v oblasti Edge AI</w:t>
      </w:r>
    </w:p>
    <w:p w14:paraId="6AAB2399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S rostoucím významem edge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computingu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jako klíčového prvku průmyslové digitální transformace představí divize ADATA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Industrial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novou generaci SSD Gen5 BiCS8 s rychlostmi čtení a zápisu až 14 800 MB/s, doplněnou o vysokofrekvenční paměti DDR5 ECC DIMM s rychlostí 7200 MT/s, optimalizované pro edge AI prostředí vyžadující nízkou latenci a vysokou spolehlivost.</w:t>
      </w:r>
    </w:p>
    <w:p w14:paraId="4281981F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ADATA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Industrial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rovněž představí spolupráci se společností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Advantech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>, v rámci které uvede novou generaci edge serveru OCP Edge-MHS a integrovaná softwarová řešení. Díky propojení expertízy v oblasti úložišť, výpočetního výkonu, komunikací a softwarových platforem vzniká komplexní AI infrastruktura propojující edge zařízení s cloudem.</w:t>
      </w:r>
    </w:p>
    <w:p w14:paraId="00B5BA8D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Společnost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ATrack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Technology se zaměří na AI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computing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a inteligentní mobilitu. Představí řadu VBOX-AI700, využívající technologie NVIDIA, navrženou pro stabilní provoz i v náročných podmínkách díky průmyslovému antivibračnímu provedení a podpoře širokého teplotního rozsahu. Platforma zároveň umožňuje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real-time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analýzu videa z více kanálů pro rozsáhlé dopravní systémy.</w:t>
      </w:r>
    </w:p>
    <w:p w14:paraId="56C26C2B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ATrack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dále uvede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čtyřkamerový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palubní rekordér AW700 pro správu vozových parků a motocyklovou kameru </w:t>
      </w:r>
      <w:r w:rsidRPr="000868B7"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AW100, které kombinují robustní konstrukci s AI zpracováním dat za účelem zvýšení efektivity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fleet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managementu a bezpečnosti silničního provozu.</w:t>
      </w:r>
    </w:p>
    <w:p w14:paraId="6F7F2E54" w14:textId="6621015E" w:rsidR="00690DF6" w:rsidRPr="000868B7" w:rsidRDefault="00690DF6" w:rsidP="00690DF6">
      <w:pPr>
        <w:kinsoku w:val="0"/>
        <w:spacing w:before="0" w:after="12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</w:pPr>
      <w:r w:rsidRPr="000868B7"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  <w:t>Robotika poháněná NVIDIA demonstruje budoucnost chytré zdravotní péče a digitálních dvojčat</w:t>
      </w:r>
    </w:p>
    <w:p w14:paraId="3425B4C0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Generativní AI a fyzická AI se stále více propojují a urychlují evoluci robotů směrem k inteligentním agentům schopným autonomního rozhodování a přirozené interakce s lidmi. Na veletrhu COMPUTEX 2026 představí ADATA novou generaci integrovaných AI agentů, jejichž vrcholem bude robotické rameno poháněné platformou NVIDIA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NemoClaw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>, integrované s pokročilými AI systémy nové generace.</w:t>
      </w:r>
    </w:p>
    <w:p w14:paraId="2593F85A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Řešení využívá platformu NVIDIA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Jetson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Thor s edge výpočetním výkonem až 2 070 TFLOPS, díky čemuž jsou AI roboti schopni v reálném čase provádět komplexní logické uvažování i kontextovou analýzu a redefinovat spolupráci člověka a stroje.</w:t>
      </w:r>
    </w:p>
    <w:p w14:paraId="38AB5CED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Součástí prezentace bude také technologie digitálních dvojčat Real-to-Sim-to-Real (R2S2R) využívající knihovny NVIDIA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Omniverse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>. Díky virtuálnímu simulačnímu prostředí v poměru 1:1 mohou roboti absolvovat trénink modelů a simulace procesů ještě před fyzickým nasazením, což výrazně zvyšuje efektivitu a umožňuje implementaci bez odstávek.</w:t>
      </w:r>
    </w:p>
    <w:p w14:paraId="2118CDD6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V oblasti zdravotnictví ADATA představí integraci robotických systémů kompatibilních se standardem VDA 5050, které se dokážou propojit s nemocničními systémy HIS/IT a zároveň využívají platformy NVIDIA Isaac ROS a NVIDIA TAO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Toolkit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pro rychlejší trénink a nasazení AI modelů.</w:t>
      </w:r>
    </w:p>
    <w:p w14:paraId="4F9D4722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ADATA rovněž představí dvouramenné kolaborativní roboty certifikované dle ISO 13482 a robotický dezinfekční systém AMR100, který již úspěšně prošel testovacím nasazením v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National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Taiwan University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Hospital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A2C9EA8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b/>
          <w:bCs/>
          <w:sz w:val="22"/>
          <w:szCs w:val="22"/>
          <w:lang w:val="cs-CZ"/>
        </w:rPr>
        <w:t>ADATA představuje novou produktovou strategii pro široké spektrum AI scénářů</w:t>
      </w:r>
    </w:p>
    <w:p w14:paraId="67F37162" w14:textId="002D721E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Pro rok 2026 přichází ADATA s komplexně přepracovanou produktovou strategií, která lépe rozlišuje výkonové úrovně a funkční výbavu jednotlivých produktů podle konkrétních scénářů použití. Cílem je nabídnout lepší uživatelskou zkušenost a </w:t>
      </w:r>
      <w:r w:rsidR="00F52FAD" w:rsidRPr="000868B7">
        <w:rPr>
          <w:rFonts w:asciiTheme="minorHAnsi" w:hAnsiTheme="minorHAnsi" w:cstheme="minorHAnsi"/>
          <w:sz w:val="22"/>
          <w:szCs w:val="22"/>
          <w:lang w:val="cs-CZ"/>
        </w:rPr>
        <w:t>zvýraznit odlišnost produktů</w:t>
      </w:r>
      <w:r w:rsidRPr="000868B7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0151B936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V segmentu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high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-performance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computingu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zaujme herní paměť XPG NOVAKEY RGB DDR5, která již získala řadu prestižních ocenění včetně CES 2026 Best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of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Innovation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Award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, Taiwan Excellence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Award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a COMPUTEX Best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Choice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Sustainability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Award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373B02B7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Paměti NOVAKEY byly navrženy pro vývojáře AI, hráče i tvůrce obsahu. Nabízejí patentovaný design „Infinity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Mirror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>“, přenosové rychlosti až 8 000 MT/s a chladič vyrobený z 50 % recyklovaného hliníku a 85 % PCR plastu, čímž propojují prémiové zpracování s důrazem na ekologickou udržitelnost.</w:t>
      </w:r>
    </w:p>
    <w:p w14:paraId="6DE405DD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>ADATA zároveň představí společně se značkou ASUS ROG novou spoluvytvářenou edici NOVAKEY RGB DDR5 ROG CERTIFIED.</w:t>
      </w:r>
    </w:p>
    <w:p w14:paraId="5FC1DD5A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V oblasti přenosných úložišť uvede ADATA novou řadu externích SSD URBAN, navrženou pro moderní mobilní životní styl. Portfolio zahrnuje model URBAN POCKET ELITE, oceněný cenou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Red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Dot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Design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Award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>, který je o 75 % menší než jeho předchůdce a podporuje rozhraní USB4 s rychlostmi až 4 000 MB/s.</w:t>
      </w:r>
    </w:p>
    <w:p w14:paraId="2B55BF75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>Další novinkou bude URBAN TAPSAFE SSD, vybavené technologií NFC pro bezpečné odemykání, která umožňuje intuitivní a zároveň zabezpečený přístup k uloženým datům.</w:t>
      </w:r>
    </w:p>
    <w:p w14:paraId="139EA55A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ADATA také posiluje své závazky v oblasti udržitelnosti prostřednictvím USB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flash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disku UC320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Bamboo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>, vyrobeného z tchajwanského bambusu a materiálu obsahujícího 55 % bambusových vláken s rostlinným škrobem. Výsledkem je biologicky rozložitelný, netoxický a ekologicky šetrný produkt.</w:t>
      </w:r>
    </w:p>
    <w:p w14:paraId="1A470927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AI od vysokorychlostního </w:t>
      </w:r>
      <w:proofErr w:type="spellStart"/>
      <w:r w:rsidRPr="000868B7">
        <w:rPr>
          <w:rFonts w:asciiTheme="minorHAnsi" w:hAnsiTheme="minorHAnsi" w:cstheme="minorHAnsi"/>
          <w:b/>
          <w:bCs/>
          <w:sz w:val="22"/>
          <w:szCs w:val="22"/>
          <w:lang w:val="cs-CZ"/>
        </w:rPr>
        <w:t>computingu</w:t>
      </w:r>
      <w:proofErr w:type="spellEnd"/>
      <w:r w:rsidRPr="000868B7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až po edge zařízení</w:t>
      </w:r>
    </w:p>
    <w:p w14:paraId="3D69C73F" w14:textId="2DFB8834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Nový vlajkový SSD disk ADATA SM2P51H8 využívá rozhraní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PCIe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Gen5x4 a je navržen pro AI PC a vysoce výkonné systémy. Nabízí rychlosti čtení a zápisu až 14 000 / 12 000 MB/s, </w:t>
      </w:r>
      <w:r w:rsidR="00F52FAD" w:rsidRPr="000868B7">
        <w:rPr>
          <w:rFonts w:asciiTheme="minorHAnsi" w:hAnsiTheme="minorHAnsi" w:cstheme="minorHAnsi"/>
          <w:sz w:val="22"/>
          <w:szCs w:val="22"/>
          <w:lang w:val="cs-CZ"/>
        </w:rPr>
        <w:t>pro rychlejší</w:t>
      </w: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AI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workloady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>, přenos velkých souborů i tvorbu obsahu ve vysokém rozlišení.</w:t>
      </w:r>
    </w:p>
    <w:p w14:paraId="1E0D8997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ADATA rovněž představí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embedded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řešení zahrnující ultra-kompaktní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eMMC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úložiště o rozměrech 7,2 × 7,2 mm a vysokorychlostní paměti LPDDR5X s rychlostí až 8 533 Mbps.</w:t>
      </w:r>
    </w:p>
    <w:p w14:paraId="08642732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Součástí prezentace budou také prostorově úsporná řešení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ePOP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a praktické ukázky AI chytrých brýlí v rámci programu Design-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Win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05406BA1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Novinkou bude také BSMART AI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offline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assistant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, který díky proprietární architektuře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Agentic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Framework dokáže převádět fragmentované záložní soubory do strukturované osobní znalostní databáze. Veškeré výpočty i vyhledávání dat probíhají lokálně, což uživatelům poskytuje intuitivní práci s AI při zachování maximální ochrany soukromí a bezpečnosti dat.</w:t>
      </w:r>
    </w:p>
    <w:p w14:paraId="67C74A13" w14:textId="74C9AF5E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b/>
          <w:bCs/>
          <w:sz w:val="22"/>
          <w:szCs w:val="22"/>
          <w:lang w:val="cs-CZ"/>
        </w:rPr>
        <w:t>XPG redefinuje gaming pomocí pokročilého chlazení, napájení a pohlcujících zážitků</w:t>
      </w:r>
    </w:p>
    <w:p w14:paraId="3F062C62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>Na veletrhu COMPUTEX 2026 představí značka XPG novou generaci chladicích řešení zahrnující pokročilé kapalinové chlazení, vzduchové chladiče i inteligentní systémy řízení ventilátorů.</w:t>
      </w:r>
    </w:p>
    <w:p w14:paraId="6AE17062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>Vlajkový model LEVANTE VIEW PRO 360 nabídne 6,7palcový zakřivený OLED displej, zatímco vzduchové chladiče MAESTRO VIEW 62DA a MAESTRO INFINITY 62DA posunou možnosti personalizace vzhledu PC sestav.</w:t>
      </w:r>
    </w:p>
    <w:p w14:paraId="65A15610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Nový ventilátor HURRICANE MAG PRO umožňuje propojení až sedmi ventilátorů jediným kabelem a integraci s proprietárním softwarem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Dynamic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Breathing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>, který inteligentně optimalizuje otáčky i proudění vzduchu. Nová série ventilátorů INFINITY zároveň zjednodušuje instalaci díky modulární konstrukci.</w:t>
      </w:r>
    </w:p>
    <w:p w14:paraId="796F8464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XPG dále představí nové počítačové skříně a napájecí zdroje. Model FUSION </w:t>
      </w:r>
      <w:proofErr w:type="gramStart"/>
      <w:r w:rsidRPr="000868B7">
        <w:rPr>
          <w:rFonts w:asciiTheme="minorHAnsi" w:hAnsiTheme="minorHAnsi" w:cstheme="minorHAnsi"/>
          <w:sz w:val="22"/>
          <w:szCs w:val="22"/>
          <w:lang w:val="cs-CZ"/>
        </w:rPr>
        <w:t>1600W</w:t>
      </w:r>
      <w:proofErr w:type="gram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umožňuje napájení dvojice grafických karet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ASRock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Intel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Arc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Pro B70 GPU určených pro náročné AI výpočty prostřednictvím technologií </w:t>
      </w:r>
      <w:r w:rsidRPr="000868B7">
        <w:rPr>
          <w:rFonts w:asciiTheme="minorHAnsi" w:hAnsiTheme="minorHAnsi" w:cstheme="minorHAnsi"/>
          <w:sz w:val="22"/>
          <w:szCs w:val="22"/>
          <w:lang w:val="cs-CZ"/>
        </w:rPr>
        <w:lastRenderedPageBreak/>
        <w:t>Intel.</w:t>
      </w:r>
    </w:p>
    <w:p w14:paraId="4636F5B3" w14:textId="3C926D4C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Zdroj CYBERCORE III </w:t>
      </w:r>
      <w:proofErr w:type="gramStart"/>
      <w:r w:rsidRPr="000868B7">
        <w:rPr>
          <w:rFonts w:asciiTheme="minorHAnsi" w:hAnsiTheme="minorHAnsi" w:cstheme="minorHAnsi"/>
          <w:sz w:val="22"/>
          <w:szCs w:val="22"/>
          <w:lang w:val="cs-CZ"/>
        </w:rPr>
        <w:t>1200W</w:t>
      </w:r>
      <w:proofErr w:type="gram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demonstruje technologii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Xtreme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Power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Guard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s ochranou proti přetížení v reálném čase, zatímco CORE REACTOR III </w:t>
      </w:r>
      <w:proofErr w:type="gramStart"/>
      <w:r w:rsidRPr="000868B7">
        <w:rPr>
          <w:rFonts w:asciiTheme="minorHAnsi" w:hAnsiTheme="minorHAnsi" w:cstheme="minorHAnsi"/>
          <w:sz w:val="22"/>
          <w:szCs w:val="22"/>
          <w:lang w:val="cs-CZ"/>
        </w:rPr>
        <w:t>1000W</w:t>
      </w:r>
      <w:proofErr w:type="gram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ukazuje synergii mezi značkami díky úzké spolupráci s</w:t>
      </w:r>
      <w:r w:rsidR="00415F5F" w:rsidRPr="000868B7">
        <w:rPr>
          <w:rFonts w:asciiTheme="minorHAnsi" w:hAnsiTheme="minorHAnsi" w:cstheme="minorHAnsi"/>
          <w:sz w:val="22"/>
          <w:szCs w:val="22"/>
          <w:lang w:val="cs-CZ"/>
        </w:rPr>
        <w:t> 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Razer</w:t>
      </w:r>
      <w:r w:rsidR="00415F5F" w:rsidRPr="000868B7">
        <w:rPr>
          <w:rFonts w:asciiTheme="minorHAnsi" w:hAnsiTheme="minorHAnsi" w:cstheme="minorHAnsi"/>
          <w:sz w:val="22"/>
          <w:szCs w:val="22"/>
          <w:lang w:val="cs-CZ"/>
        </w:rPr>
        <w:t>em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a plné podpoře platformy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Razer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Core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X V2.</w:t>
      </w:r>
    </w:p>
    <w:p w14:paraId="457CBA28" w14:textId="777777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sz w:val="22"/>
          <w:szCs w:val="22"/>
          <w:lang w:val="cs-CZ"/>
        </w:rPr>
        <w:t>Pro završení herního ekosystému spojí XPG síly se společností KOEI TECMO GAMES a nabídne exkluzivní zónu věnovanou hře „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Nioh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3“, poháněnou herním monitorem APERTURE A27F4, která návštěvníkům přinese novou generaci pohlcujících herních zážitků.</w:t>
      </w:r>
    </w:p>
    <w:p w14:paraId="5953301C" w14:textId="77777777" w:rsidR="00415F5F" w:rsidRPr="000868B7" w:rsidRDefault="00415F5F" w:rsidP="00415F5F">
      <w:pPr>
        <w:kinsoku w:val="0"/>
        <w:spacing w:before="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b/>
          <w:bCs/>
          <w:sz w:val="22"/>
          <w:szCs w:val="22"/>
          <w:lang w:val="cs-CZ"/>
        </w:rPr>
        <w:t>Informace o expozici ADATA na COMPUTEX 2026</w:t>
      </w:r>
    </w:p>
    <w:p w14:paraId="67699A21" w14:textId="77777777" w:rsidR="00415F5F" w:rsidRPr="000868B7" w:rsidRDefault="00415F5F" w:rsidP="00415F5F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b/>
          <w:bCs/>
          <w:sz w:val="22"/>
          <w:szCs w:val="22"/>
          <w:lang w:val="cs-CZ"/>
        </w:rPr>
        <w:t>Místo konání:</w:t>
      </w: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Taipei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Nangang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Exhibition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Center </w:t>
      </w:r>
      <w:proofErr w:type="spellStart"/>
      <w:r w:rsidRPr="000868B7">
        <w:rPr>
          <w:rFonts w:asciiTheme="minorHAnsi" w:hAnsiTheme="minorHAnsi" w:cstheme="minorHAnsi"/>
          <w:sz w:val="22"/>
          <w:szCs w:val="22"/>
          <w:lang w:val="cs-CZ"/>
        </w:rPr>
        <w:t>Hall</w:t>
      </w:r>
      <w:proofErr w:type="spellEnd"/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1, 4. patro, stánek L0617a</w:t>
      </w:r>
      <w:r w:rsidRPr="000868B7">
        <w:rPr>
          <w:rFonts w:asciiTheme="minorHAnsi" w:hAnsiTheme="minorHAnsi" w:cstheme="minorHAnsi"/>
          <w:sz w:val="22"/>
          <w:szCs w:val="22"/>
          <w:lang w:val="cs-CZ"/>
        </w:rPr>
        <w:br/>
      </w:r>
      <w:r w:rsidRPr="000868B7">
        <w:rPr>
          <w:rFonts w:asciiTheme="minorHAnsi" w:hAnsiTheme="minorHAnsi" w:cstheme="minorHAnsi"/>
          <w:b/>
          <w:bCs/>
          <w:sz w:val="22"/>
          <w:szCs w:val="22"/>
          <w:lang w:val="cs-CZ"/>
        </w:rPr>
        <w:t>Termín:</w:t>
      </w: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2.–5. června 2026</w:t>
      </w:r>
    </w:p>
    <w:p w14:paraId="594ADCC5" w14:textId="77777777" w:rsidR="00415F5F" w:rsidRPr="000868B7" w:rsidRDefault="00415F5F" w:rsidP="00415F5F">
      <w:pPr>
        <w:kinsoku w:val="0"/>
        <w:spacing w:before="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b/>
          <w:bCs/>
          <w:sz w:val="22"/>
          <w:szCs w:val="22"/>
          <w:lang w:val="cs-CZ"/>
        </w:rPr>
        <w:t>Digitální prezentace ADATA COMPUTEX 2026</w:t>
      </w:r>
    </w:p>
    <w:p w14:paraId="6ADF95A1" w14:textId="60796778" w:rsidR="00A47FF8" w:rsidRPr="000868B7" w:rsidRDefault="00415F5F" w:rsidP="00415F5F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b/>
          <w:bCs/>
          <w:sz w:val="22"/>
          <w:szCs w:val="22"/>
          <w:lang w:val="cs-CZ"/>
        </w:rPr>
        <w:t>Spuštění online platformy:</w:t>
      </w: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od 2. června 2026</w:t>
      </w:r>
      <w:r w:rsidRPr="000868B7">
        <w:rPr>
          <w:rFonts w:asciiTheme="minorHAnsi" w:hAnsiTheme="minorHAnsi" w:cstheme="minorHAnsi"/>
          <w:sz w:val="22"/>
          <w:szCs w:val="22"/>
          <w:lang w:val="cs-CZ"/>
        </w:rPr>
        <w:br/>
      </w:r>
      <w:proofErr w:type="gramStart"/>
      <w:r w:rsidRPr="000868B7">
        <w:rPr>
          <w:rFonts w:asciiTheme="minorHAnsi" w:hAnsiTheme="minorHAnsi" w:cstheme="minorHAnsi"/>
          <w:b/>
          <w:bCs/>
          <w:sz w:val="22"/>
          <w:szCs w:val="22"/>
          <w:lang w:val="cs-CZ"/>
        </w:rPr>
        <w:t>Web</w:t>
      </w:r>
      <w:proofErr w:type="gramEnd"/>
      <w:r w:rsidRPr="000868B7">
        <w:rPr>
          <w:rFonts w:asciiTheme="minorHAnsi" w:hAnsiTheme="minorHAnsi" w:cstheme="minorHAnsi"/>
          <w:b/>
          <w:bCs/>
          <w:sz w:val="22"/>
          <w:szCs w:val="22"/>
          <w:lang w:val="cs-CZ"/>
        </w:rPr>
        <w:t>:</w:t>
      </w:r>
      <w:r w:rsidRPr="000868B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hyperlink r:id="rId8" w:history="1">
        <w:r w:rsidR="00A47FF8" w:rsidRPr="000868B7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https://event.adata.com/computex2026/en</w:t>
        </w:r>
      </w:hyperlink>
    </w:p>
    <w:p w14:paraId="00B4452C" w14:textId="76447BBC" w:rsidR="00415F5F" w:rsidRPr="000868B7" w:rsidRDefault="00415F5F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68B7">
        <w:rPr>
          <w:rFonts w:asciiTheme="minorHAnsi" w:hAnsiTheme="minorHAnsi" w:cstheme="minorHAnsi"/>
          <w:i/>
          <w:iCs/>
          <w:sz w:val="22"/>
          <w:szCs w:val="22"/>
          <w:lang w:val="cs-CZ"/>
        </w:rPr>
        <w:t xml:space="preserve">© Intel, logo Intel a další značky společnosti Intel jsou ochranné známky společnosti Intel </w:t>
      </w:r>
      <w:proofErr w:type="spellStart"/>
      <w:r w:rsidRPr="000868B7">
        <w:rPr>
          <w:rFonts w:asciiTheme="minorHAnsi" w:hAnsiTheme="minorHAnsi" w:cstheme="minorHAnsi"/>
          <w:i/>
          <w:iCs/>
          <w:sz w:val="22"/>
          <w:szCs w:val="22"/>
          <w:lang w:val="cs-CZ"/>
        </w:rPr>
        <w:t>Corporation</w:t>
      </w:r>
      <w:proofErr w:type="spellEnd"/>
      <w:r w:rsidRPr="000868B7">
        <w:rPr>
          <w:rFonts w:asciiTheme="minorHAnsi" w:hAnsiTheme="minorHAnsi" w:cstheme="minorHAnsi"/>
          <w:i/>
          <w:iCs/>
          <w:sz w:val="22"/>
          <w:szCs w:val="22"/>
          <w:lang w:val="cs-CZ"/>
        </w:rPr>
        <w:t xml:space="preserve"> nebo jejích dceřiných společností.</w:t>
      </w:r>
    </w:p>
    <w:p w14:paraId="6371B9AE" w14:textId="26DB1D77" w:rsidR="00690DF6" w:rsidRPr="000868B7" w:rsidRDefault="00690DF6" w:rsidP="00690DF6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bookmarkEnd w:id="2"/>
    <w:bookmarkEnd w:id="3"/>
    <w:p w14:paraId="4772E188" w14:textId="77777777" w:rsidR="00C10C38" w:rsidRPr="000868B7" w:rsidRDefault="00C10C38" w:rsidP="008F6D9F">
      <w:pPr>
        <w:kinsoku w:val="0"/>
        <w:spacing w:before="0" w:after="120"/>
        <w:jc w:val="both"/>
        <w:rPr>
          <w:rFonts w:asciiTheme="minorHAnsi" w:eastAsia="PMingLiU" w:hAnsiTheme="minorHAnsi" w:cstheme="minorHAnsi"/>
          <w:b/>
          <w:color w:val="000000"/>
          <w:lang w:val="cs-CZ"/>
        </w:rPr>
      </w:pPr>
      <w:r w:rsidRPr="000868B7">
        <w:rPr>
          <w:rFonts w:asciiTheme="minorHAnsi" w:eastAsia="PMingLiU" w:hAnsiTheme="minorHAnsi" w:cstheme="minorHAnsi"/>
          <w:b/>
          <w:color w:val="000000"/>
          <w:lang w:val="cs-CZ"/>
        </w:rPr>
        <w:t>Kontaktní osoby:</w:t>
      </w:r>
    </w:p>
    <w:p w14:paraId="1D42F04E" w14:textId="0E6006DB" w:rsidR="00C10C38" w:rsidRPr="000868B7" w:rsidRDefault="00C10C38" w:rsidP="008F6D9F">
      <w:pPr>
        <w:kinsoku w:val="0"/>
        <w:spacing w:before="0" w:after="120"/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</w:pPr>
      <w:r w:rsidRPr="000868B7">
        <w:rPr>
          <w:rFonts w:asciiTheme="minorHAnsi" w:eastAsia="PMingLiU" w:hAnsiTheme="minorHAnsi" w:cstheme="minorHAnsi"/>
          <w:b/>
          <w:color w:val="000000"/>
          <w:sz w:val="22"/>
          <w:szCs w:val="22"/>
          <w:lang w:val="cs-CZ"/>
        </w:rPr>
        <w:t>Václav Kotyk</w:t>
      </w:r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, mediální konzultant, Grunex</w:t>
      </w:r>
      <w:r w:rsidR="008F6D9F"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br/>
      </w:r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(+ 420) 602 317 087, </w:t>
      </w:r>
      <w:hyperlink r:id="rId9" w:history="1">
        <w:r w:rsidR="00B64D9A" w:rsidRPr="000868B7">
          <w:rPr>
            <w:rStyle w:val="Hypertextovodkaz"/>
            <w:rFonts w:asciiTheme="minorHAnsi" w:eastAsia="PMingLiU" w:hAnsiTheme="minorHAnsi" w:cstheme="minorHAnsi"/>
            <w:bCs/>
            <w:sz w:val="22"/>
            <w:szCs w:val="22"/>
            <w:lang w:val="cs-CZ"/>
          </w:rPr>
          <w:t>vaclav.kotyk@grunex.com</w:t>
        </w:r>
      </w:hyperlink>
    </w:p>
    <w:p w14:paraId="2C09A845" w14:textId="284000E2" w:rsidR="00C10C38" w:rsidRPr="000868B7" w:rsidRDefault="00C10C38" w:rsidP="008F6D9F">
      <w:pPr>
        <w:kinsoku w:val="0"/>
        <w:spacing w:before="0" w:after="120"/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</w:pPr>
      <w:r w:rsidRPr="000868B7">
        <w:rPr>
          <w:rFonts w:asciiTheme="minorHAnsi" w:eastAsia="PMingLiU" w:hAnsiTheme="minorHAnsi" w:cstheme="minorHAnsi"/>
          <w:b/>
          <w:color w:val="000000"/>
          <w:sz w:val="22"/>
          <w:szCs w:val="22"/>
          <w:lang w:val="cs-CZ"/>
        </w:rPr>
        <w:t>Martin Liberský</w:t>
      </w:r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, ředitel agentury, Grunex</w:t>
      </w:r>
      <w:r w:rsidR="008F6D9F"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br/>
      </w:r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(+ 420) 603 434 318, </w:t>
      </w:r>
      <w:hyperlink r:id="rId10" w:history="1">
        <w:r w:rsidR="00B64D9A" w:rsidRPr="000868B7">
          <w:rPr>
            <w:rStyle w:val="Hypertextovodkaz"/>
            <w:rFonts w:asciiTheme="minorHAnsi" w:eastAsia="PMingLiU" w:hAnsiTheme="minorHAnsi" w:cstheme="minorHAnsi"/>
            <w:bCs/>
            <w:sz w:val="22"/>
            <w:szCs w:val="22"/>
            <w:lang w:val="cs-CZ"/>
          </w:rPr>
          <w:t>martin.libersky@grunex.com</w:t>
        </w:r>
      </w:hyperlink>
    </w:p>
    <w:p w14:paraId="098920EF" w14:textId="77777777" w:rsidR="008F6D9F" w:rsidRPr="000868B7" w:rsidRDefault="008F6D9F" w:rsidP="008F6D9F">
      <w:pPr>
        <w:pStyle w:val="ContactInformation"/>
        <w:spacing w:after="120" w:line="360" w:lineRule="exact"/>
        <w:jc w:val="both"/>
        <w:rPr>
          <w:rFonts w:asciiTheme="minorHAnsi" w:eastAsia="PMingLiU" w:hAnsiTheme="minorHAnsi" w:cstheme="minorHAnsi"/>
          <w:b/>
          <w:color w:val="000000"/>
          <w:lang w:val="cs-CZ"/>
        </w:rPr>
      </w:pPr>
    </w:p>
    <w:p w14:paraId="6CC11756" w14:textId="77777777" w:rsidR="00D67CAA" w:rsidRPr="000868B7" w:rsidRDefault="008F6D9F" w:rsidP="008F6D9F">
      <w:pPr>
        <w:pStyle w:val="ContactInformation"/>
        <w:spacing w:after="120" w:line="360" w:lineRule="exact"/>
        <w:jc w:val="both"/>
        <w:rPr>
          <w:rFonts w:asciiTheme="minorHAnsi" w:eastAsia="PMingLiU" w:hAnsiTheme="minorHAnsi" w:cstheme="minorHAnsi"/>
          <w:b/>
          <w:color w:val="000000"/>
          <w:lang w:val="cs-CZ"/>
        </w:rPr>
      </w:pPr>
      <w:r w:rsidRPr="000868B7">
        <w:rPr>
          <w:rFonts w:asciiTheme="minorHAnsi" w:eastAsia="PMingLiU" w:hAnsiTheme="minorHAnsi" w:cstheme="minorHAnsi"/>
          <w:b/>
          <w:color w:val="000000"/>
          <w:lang w:val="cs-CZ"/>
        </w:rPr>
        <w:t>Poznámky pro editory</w:t>
      </w:r>
    </w:p>
    <w:p w14:paraId="2A82C2BE" w14:textId="77777777" w:rsidR="00690DF6" w:rsidRPr="000868B7" w:rsidRDefault="00690DF6" w:rsidP="008F6D9F">
      <w:pPr>
        <w:pStyle w:val="ContactInformation"/>
        <w:spacing w:after="120" w:line="360" w:lineRule="exact"/>
        <w:jc w:val="both"/>
        <w:rPr>
          <w:rFonts w:asciiTheme="minorHAnsi" w:eastAsia="PMingLiU" w:hAnsiTheme="minorHAnsi" w:cstheme="minorHAnsi"/>
          <w:b/>
          <w:color w:val="000000"/>
          <w:sz w:val="22"/>
          <w:szCs w:val="22"/>
          <w:u w:val="single"/>
        </w:rPr>
      </w:pPr>
      <w:r w:rsidRPr="000868B7">
        <w:rPr>
          <w:rFonts w:asciiTheme="minorHAnsi" w:eastAsia="PMingLiU" w:hAnsiTheme="minorHAnsi" w:cstheme="minorHAnsi"/>
          <w:b/>
          <w:color w:val="000000"/>
          <w:sz w:val="22"/>
          <w:szCs w:val="22"/>
          <w:u w:val="single"/>
        </w:rPr>
        <w:t xml:space="preserve">O </w:t>
      </w:r>
      <w:proofErr w:type="spellStart"/>
      <w:r w:rsidRPr="000868B7">
        <w:rPr>
          <w:rFonts w:asciiTheme="minorHAnsi" w:eastAsia="PMingLiU" w:hAnsiTheme="minorHAnsi" w:cstheme="minorHAnsi"/>
          <w:b/>
          <w:color w:val="000000"/>
          <w:sz w:val="22"/>
          <w:szCs w:val="22"/>
          <w:u w:val="single"/>
        </w:rPr>
        <w:t>společnosti</w:t>
      </w:r>
      <w:proofErr w:type="spellEnd"/>
      <w:r w:rsidRPr="000868B7">
        <w:rPr>
          <w:rFonts w:asciiTheme="minorHAnsi" w:eastAsia="PMingLiU" w:hAnsiTheme="minorHAnsi" w:cstheme="minorHAnsi"/>
          <w:b/>
          <w:color w:val="000000"/>
          <w:sz w:val="22"/>
          <w:szCs w:val="22"/>
          <w:u w:val="single"/>
        </w:rPr>
        <w:t xml:space="preserve"> ADATA – Innovating the Future</w:t>
      </w:r>
    </w:p>
    <w:p w14:paraId="04893DCE" w14:textId="77777777" w:rsidR="00415F5F" w:rsidRPr="000868B7" w:rsidRDefault="00415F5F" w:rsidP="00415F5F">
      <w:pPr>
        <w:pStyle w:val="ContactInformation"/>
        <w:spacing w:after="120" w:line="360" w:lineRule="exact"/>
        <w:jc w:val="both"/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</w:pPr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Společnost ADATA Technology je druhým největším světovým výrobcem pamětí DRAM a značkových SSD disků a zároveň se pravidelně umisťuje mezi 25 nejhodnotnějšími tchajwanskými globálními značkami.</w:t>
      </w:r>
    </w:p>
    <w:p w14:paraId="2014B253" w14:textId="77777777" w:rsidR="00415F5F" w:rsidRPr="000868B7" w:rsidRDefault="00415F5F" w:rsidP="00415F5F">
      <w:pPr>
        <w:pStyle w:val="ContactInformation"/>
        <w:spacing w:after="120" w:line="360" w:lineRule="exact"/>
        <w:jc w:val="both"/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</w:pPr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Portfolio společnosti zahrnuje spotřební elektroniku, herní produkty, průmyslová řešení, podniková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storage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 řešení, AI robotiku i komerční elektromobily. Produkty ADATA získaly řadu mezinárodních ocenění, včetně Taiwan Excellence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Award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,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iF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 Design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Award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 a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Red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Dot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 Design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Award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.</w:t>
      </w:r>
    </w:p>
    <w:p w14:paraId="5509CD41" w14:textId="77777777" w:rsidR="00415F5F" w:rsidRPr="000868B7" w:rsidRDefault="00415F5F" w:rsidP="00415F5F">
      <w:pPr>
        <w:pStyle w:val="ContactInformation"/>
        <w:spacing w:after="120" w:line="360" w:lineRule="exact"/>
        <w:jc w:val="both"/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</w:pPr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lastRenderedPageBreak/>
        <w:t xml:space="preserve">Společnost je oceňována také za péči o zaměstnance a důraz na udržitelnou firemní kulturu orientovanou na lidi. Získala certifikaci Great Place to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Work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™ pro své pobočky na Tchaj-wanu, v Číně, USA, Brazílii a Mexiku a byla oceněna v žebříčcích Best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Workplaces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™ in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Asia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,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Greater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China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 i Taiwan.</w:t>
      </w:r>
    </w:p>
    <w:p w14:paraId="74140BCE" w14:textId="77777777" w:rsidR="00415F5F" w:rsidRPr="000868B7" w:rsidRDefault="00415F5F" w:rsidP="00415F5F">
      <w:pPr>
        <w:pStyle w:val="ContactInformation"/>
        <w:spacing w:after="120" w:line="360" w:lineRule="exact"/>
        <w:jc w:val="both"/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</w:pPr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Od roku 2020 ADATA již šest let po sobě získává ocenění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Asia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Responsible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Enterprise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Awards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 a Best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Companies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 to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Work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for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 in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Asia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. U příležitosti svého 25. výročí společnost dále rozvíjí svou vizi značky „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Innovate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 to </w:t>
      </w:r>
      <w:proofErr w:type="spellStart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Inspire</w:t>
      </w:r>
      <w:proofErr w:type="spellEnd"/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“ a pokračuje ve vytváření technologických inovací, které lidem po celém světě přinášejí chytřejší a kvalitnější život.</w:t>
      </w:r>
    </w:p>
    <w:p w14:paraId="62245752" w14:textId="051DE2DA" w:rsidR="00C6249C" w:rsidRPr="000868B7" w:rsidRDefault="00D67CAA" w:rsidP="008F6D9F">
      <w:pPr>
        <w:pStyle w:val="ContactInformation"/>
        <w:spacing w:after="120" w:line="360" w:lineRule="exact"/>
        <w:jc w:val="both"/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</w:pPr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 xml:space="preserve">Další informace naleznete na adrese </w:t>
      </w:r>
      <w:hyperlink r:id="rId11" w:history="1">
        <w:r w:rsidR="002A2D3C" w:rsidRPr="000868B7">
          <w:rPr>
            <w:rStyle w:val="Hypertextovodkaz"/>
            <w:rFonts w:asciiTheme="minorHAnsi" w:eastAsia="PMingLiU" w:hAnsiTheme="minorHAnsi" w:cstheme="minorHAnsi"/>
            <w:bCs/>
            <w:sz w:val="22"/>
            <w:szCs w:val="22"/>
            <w:lang w:val="cs-CZ"/>
          </w:rPr>
          <w:t>https://www.adata.com</w:t>
        </w:r>
      </w:hyperlink>
      <w:r w:rsidRPr="000868B7">
        <w:rPr>
          <w:rFonts w:asciiTheme="minorHAnsi" w:eastAsia="PMingLiU" w:hAnsiTheme="minorHAnsi" w:cstheme="minorHAnsi"/>
          <w:bCs/>
          <w:color w:val="000000"/>
          <w:sz w:val="22"/>
          <w:szCs w:val="22"/>
          <w:lang w:val="cs-CZ"/>
        </w:rPr>
        <w:t>.</w:t>
      </w:r>
    </w:p>
    <w:sectPr w:rsidR="00C6249C" w:rsidRPr="000868B7" w:rsidSect="00166297">
      <w:headerReference w:type="default" r:id="rId12"/>
      <w:footerReference w:type="default" r:id="rId13"/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CD69" w14:textId="77777777" w:rsidR="0067511D" w:rsidRDefault="0067511D">
      <w:r>
        <w:separator/>
      </w:r>
    </w:p>
  </w:endnote>
  <w:endnote w:type="continuationSeparator" w:id="0">
    <w:p w14:paraId="6D8E1507" w14:textId="77777777" w:rsidR="0067511D" w:rsidRDefault="0067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6F31" w14:textId="77777777" w:rsidR="008F6D9F" w:rsidRDefault="008F6D9F" w:rsidP="008F6D9F">
    <w:pPr>
      <w:pStyle w:val="Zpat"/>
    </w:pPr>
  </w:p>
  <w:p w14:paraId="7A929AD1" w14:textId="77777777" w:rsidR="008F6D9F" w:rsidRPr="00462E91" w:rsidRDefault="008F6D9F" w:rsidP="008F6D9F">
    <w:pPr>
      <w:pStyle w:val="Zpat"/>
      <w:rPr>
        <w:lang w:val="fr-FR"/>
      </w:rPr>
    </w:pPr>
    <w:r w:rsidRPr="00462E91">
      <w:rPr>
        <w:lang w:val="fr-FR"/>
      </w:rPr>
      <w:t xml:space="preserve">Vytvořila </w:t>
    </w:r>
    <w:proofErr w:type="spellStart"/>
    <w:r w:rsidRPr="00462E91">
      <w:rPr>
        <w:lang w:val="fr-FR"/>
      </w:rPr>
      <w:t>agentura</w:t>
    </w:r>
    <w:proofErr w:type="spellEnd"/>
    <w:r w:rsidRPr="00462E91">
      <w:rPr>
        <w:lang w:val="fr-FR"/>
      </w:rPr>
      <w:t xml:space="preserve"> Grunex | www.GrunexB2B.com</w:t>
    </w:r>
  </w:p>
  <w:p w14:paraId="654A32F8" w14:textId="77777777" w:rsidR="008F6D9F" w:rsidRPr="00462E91" w:rsidRDefault="008F6D9F" w:rsidP="008F6D9F">
    <w:pPr>
      <w:pStyle w:val="Zpat"/>
      <w:rPr>
        <w:lang w:val="fr-FR"/>
      </w:rPr>
    </w:pPr>
    <w:r w:rsidRPr="00462E91">
      <w:rPr>
        <w:lang w:val="fr-FR"/>
      </w:rPr>
      <w:t>[</w:t>
    </w:r>
    <w:proofErr w:type="spellStart"/>
    <w:r w:rsidRPr="00462E91">
      <w:rPr>
        <w:lang w:val="fr-FR"/>
      </w:rPr>
      <w:t>Tiskové</w:t>
    </w:r>
    <w:proofErr w:type="spellEnd"/>
    <w:r w:rsidRPr="00462E91">
      <w:rPr>
        <w:lang w:val="fr-FR"/>
      </w:rPr>
      <w:t xml:space="preserve"> </w:t>
    </w:r>
    <w:proofErr w:type="spellStart"/>
    <w:r w:rsidRPr="00462E91">
      <w:rPr>
        <w:lang w:val="fr-FR"/>
      </w:rPr>
      <w:t>středisko</w:t>
    </w:r>
    <w:proofErr w:type="spellEnd"/>
    <w:r w:rsidRPr="00462E91">
      <w:rPr>
        <w:lang w:val="fr-FR"/>
      </w:rPr>
      <w:t xml:space="preserve">, </w:t>
    </w:r>
    <w:proofErr w:type="spellStart"/>
    <w:r w:rsidRPr="00462E91">
      <w:rPr>
        <w:lang w:val="fr-FR"/>
      </w:rPr>
      <w:t>kde</w:t>
    </w:r>
    <w:proofErr w:type="spellEnd"/>
    <w:r w:rsidRPr="00462E91">
      <w:rPr>
        <w:lang w:val="fr-FR"/>
      </w:rPr>
      <w:t xml:space="preserve"> si </w:t>
    </w:r>
    <w:proofErr w:type="spellStart"/>
    <w:r w:rsidRPr="00462E91">
      <w:rPr>
        <w:lang w:val="fr-FR"/>
      </w:rPr>
      <w:t>můžete</w:t>
    </w:r>
    <w:proofErr w:type="spellEnd"/>
    <w:r w:rsidRPr="00462E91">
      <w:rPr>
        <w:lang w:val="fr-FR"/>
      </w:rPr>
      <w:t xml:space="preserve"> </w:t>
    </w:r>
    <w:proofErr w:type="spellStart"/>
    <w:r w:rsidRPr="00462E91">
      <w:rPr>
        <w:lang w:val="fr-FR"/>
      </w:rPr>
      <w:t>stáhnout</w:t>
    </w:r>
    <w:proofErr w:type="spellEnd"/>
    <w:r w:rsidRPr="00462E91">
      <w:rPr>
        <w:lang w:val="fr-FR"/>
      </w:rPr>
      <w:t xml:space="preserve"> </w:t>
    </w:r>
    <w:proofErr w:type="spellStart"/>
    <w:r w:rsidRPr="00462E91">
      <w:rPr>
        <w:lang w:val="fr-FR"/>
      </w:rPr>
      <w:t>podklady</w:t>
    </w:r>
    <w:proofErr w:type="spellEnd"/>
    <w:r w:rsidRPr="00462E91">
      <w:rPr>
        <w:lang w:val="fr-FR"/>
      </w:rPr>
      <w:t xml:space="preserve"> ADATA]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4C09E" w14:textId="77777777" w:rsidR="0067511D" w:rsidRDefault="0067511D">
      <w:r>
        <w:separator/>
      </w:r>
    </w:p>
  </w:footnote>
  <w:footnote w:type="continuationSeparator" w:id="0">
    <w:p w14:paraId="7726FBDC" w14:textId="77777777" w:rsidR="0067511D" w:rsidRDefault="00675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DB95" w14:textId="77777777" w:rsidR="00C76187" w:rsidRDefault="00C10C38" w:rsidP="00C10C38">
    <w:pPr>
      <w:pStyle w:val="Zhlav"/>
      <w:rPr>
        <w:rFonts w:ascii="Arial" w:hAnsi="Arial" w:cs="Arial"/>
      </w:rPr>
    </w:pPr>
    <w:r w:rsidRPr="00C10C38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566D97" wp14:editId="78B72D8B">
              <wp:simplePos x="0" y="0"/>
              <wp:positionH relativeFrom="margin">
                <wp:align>right</wp:align>
              </wp:positionH>
              <wp:positionV relativeFrom="paragraph">
                <wp:posOffset>106680</wp:posOffset>
              </wp:positionV>
              <wp:extent cx="2360930" cy="1404620"/>
              <wp:effectExtent l="0" t="0" r="889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4A3E7" w14:textId="77777777" w:rsidR="00C10C38" w:rsidRPr="00C10C38" w:rsidRDefault="00C10C38" w:rsidP="00C10C38">
                          <w:pPr>
                            <w:jc w:val="right"/>
                            <w:rPr>
                              <w:lang w:val="cs-CZ"/>
                            </w:rPr>
                          </w:pPr>
                          <w:r w:rsidRPr="00C10C38">
                            <w:rPr>
                              <w:rFonts w:ascii="Arial" w:hAnsi="Arial" w:cs="Arial"/>
                              <w:lang w:val="cs-CZ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566D9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34.7pt;margin-top:8.4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CZ6okt&#10;3QAAAAcBAAAPAAAAAAAAAAAAAAAAAGgEAABkcnMvZG93bnJldi54bWxQSwUGAAAAAAQABADzAAAA&#10;cgUAAAAA&#10;" stroked="f">
              <v:textbox style="mso-fit-shape-to-text:t">
                <w:txbxContent>
                  <w:p w14:paraId="3EB4A3E7" w14:textId="77777777" w:rsidR="00C10C38" w:rsidRPr="00C10C38" w:rsidRDefault="00C10C38" w:rsidP="00C10C38">
                    <w:pPr>
                      <w:jc w:val="right"/>
                      <w:rPr>
                        <w:lang w:val="cs-CZ"/>
                      </w:rPr>
                    </w:pPr>
                    <w:r w:rsidRPr="00C10C38">
                      <w:rPr>
                        <w:rFonts w:ascii="Arial" w:hAnsi="Arial" w:cs="Arial"/>
                        <w:lang w:val="cs-CZ"/>
                      </w:rPr>
                      <w:t>Tisková zpráva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66297" w:rsidRPr="00C10C38">
      <w:rPr>
        <w:rFonts w:ascii="Arial" w:hAnsi="Arial" w:cs="Arial"/>
        <w:noProof/>
      </w:rPr>
      <w:drawing>
        <wp:inline distT="0" distB="0" distL="0" distR="0" wp14:anchorId="265B18B8" wp14:editId="0FD021FD">
          <wp:extent cx="1574358" cy="901977"/>
          <wp:effectExtent l="0" t="0" r="6985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ATA+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5" t="6154" r="3760" b="9231"/>
                  <a:stretch/>
                </pic:blipFill>
                <pic:spPr bwMode="auto">
                  <a:xfrm>
                    <a:off x="0" y="0"/>
                    <a:ext cx="1580917" cy="905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FFC7D5A" w14:textId="77777777" w:rsidR="00C75299" w:rsidRPr="00C10C38" w:rsidRDefault="00C75299" w:rsidP="00C10C38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D43"/>
    <w:multiLevelType w:val="hybridMultilevel"/>
    <w:tmpl w:val="F1247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BA6"/>
    <w:multiLevelType w:val="hybridMultilevel"/>
    <w:tmpl w:val="F294C15E"/>
    <w:lvl w:ilvl="0" w:tplc="A64EA5F6">
      <w:start w:val="1"/>
      <w:numFmt w:val="bullet"/>
      <w:lvlText w:val=""/>
      <w:lvlJc w:val="left"/>
      <w:pPr>
        <w:tabs>
          <w:tab w:val="num" w:pos="0"/>
        </w:tabs>
        <w:ind w:left="360" w:hanging="480"/>
      </w:pPr>
      <w:rPr>
        <w:rFonts w:ascii="Symbol" w:hAnsi="Symbol" w:cs="Wingdings" w:hint="default"/>
        <w:vanish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791A"/>
    <w:multiLevelType w:val="hybridMultilevel"/>
    <w:tmpl w:val="6FB03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F064B"/>
    <w:multiLevelType w:val="hybridMultilevel"/>
    <w:tmpl w:val="B9300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7278"/>
    <w:multiLevelType w:val="hybridMultilevel"/>
    <w:tmpl w:val="608E9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E50F4"/>
    <w:multiLevelType w:val="hybridMultilevel"/>
    <w:tmpl w:val="EC0C4B3A"/>
    <w:lvl w:ilvl="0" w:tplc="CC821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FC13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9EA9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CE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A5C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1A38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842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AFE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840E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92556"/>
    <w:multiLevelType w:val="hybridMultilevel"/>
    <w:tmpl w:val="3CD64F88"/>
    <w:lvl w:ilvl="0" w:tplc="636A40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1C9F2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549F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5E29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8C39C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2EE7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B003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34DD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E436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931D4"/>
    <w:multiLevelType w:val="hybridMultilevel"/>
    <w:tmpl w:val="B896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248016">
    <w:abstractNumId w:val="6"/>
  </w:num>
  <w:num w:numId="2" w16cid:durableId="1778718744">
    <w:abstractNumId w:val="5"/>
  </w:num>
  <w:num w:numId="3" w16cid:durableId="506021825">
    <w:abstractNumId w:val="1"/>
  </w:num>
  <w:num w:numId="4" w16cid:durableId="1705787803">
    <w:abstractNumId w:val="4"/>
  </w:num>
  <w:num w:numId="5" w16cid:durableId="1958635653">
    <w:abstractNumId w:val="0"/>
  </w:num>
  <w:num w:numId="6" w16cid:durableId="406533244">
    <w:abstractNumId w:val="2"/>
  </w:num>
  <w:num w:numId="7" w16cid:durableId="1772970244">
    <w:abstractNumId w:val="3"/>
  </w:num>
  <w:num w:numId="8" w16cid:durableId="1596209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cs-CZ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A0NDIzN7I0MTQ1NbZU0lEKTi0uzszPAykwNKoFAFuGhfYtAAAA"/>
  </w:docVars>
  <w:rsids>
    <w:rsidRoot w:val="00D444E5"/>
    <w:rsid w:val="00003612"/>
    <w:rsid w:val="0000682E"/>
    <w:rsid w:val="000074C9"/>
    <w:rsid w:val="00007EDA"/>
    <w:rsid w:val="000112CB"/>
    <w:rsid w:val="000133DE"/>
    <w:rsid w:val="000175F7"/>
    <w:rsid w:val="00017E0E"/>
    <w:rsid w:val="00020562"/>
    <w:rsid w:val="000303AC"/>
    <w:rsid w:val="0003703D"/>
    <w:rsid w:val="00040C8F"/>
    <w:rsid w:val="00041D14"/>
    <w:rsid w:val="00045497"/>
    <w:rsid w:val="00050194"/>
    <w:rsid w:val="00052CA0"/>
    <w:rsid w:val="00052CA5"/>
    <w:rsid w:val="00053A57"/>
    <w:rsid w:val="0005468C"/>
    <w:rsid w:val="000547A6"/>
    <w:rsid w:val="00057609"/>
    <w:rsid w:val="00062FB9"/>
    <w:rsid w:val="00067C5A"/>
    <w:rsid w:val="00072D26"/>
    <w:rsid w:val="00081C70"/>
    <w:rsid w:val="000840AD"/>
    <w:rsid w:val="000868B7"/>
    <w:rsid w:val="00087917"/>
    <w:rsid w:val="000908CE"/>
    <w:rsid w:val="00090A36"/>
    <w:rsid w:val="000911B2"/>
    <w:rsid w:val="0009451E"/>
    <w:rsid w:val="000A1A70"/>
    <w:rsid w:val="000A7487"/>
    <w:rsid w:val="000A76CD"/>
    <w:rsid w:val="000C1438"/>
    <w:rsid w:val="000C5932"/>
    <w:rsid w:val="000D15D0"/>
    <w:rsid w:val="000D2E87"/>
    <w:rsid w:val="000D4B08"/>
    <w:rsid w:val="000E0DF0"/>
    <w:rsid w:val="000E30FA"/>
    <w:rsid w:val="000E39E7"/>
    <w:rsid w:val="000E5A7C"/>
    <w:rsid w:val="000F1066"/>
    <w:rsid w:val="000F6014"/>
    <w:rsid w:val="001003F5"/>
    <w:rsid w:val="00105C5F"/>
    <w:rsid w:val="00106AA7"/>
    <w:rsid w:val="00113028"/>
    <w:rsid w:val="001159F3"/>
    <w:rsid w:val="00120342"/>
    <w:rsid w:val="00120D9A"/>
    <w:rsid w:val="0012528B"/>
    <w:rsid w:val="001273F9"/>
    <w:rsid w:val="001324A5"/>
    <w:rsid w:val="001331CA"/>
    <w:rsid w:val="0014159B"/>
    <w:rsid w:val="001433C6"/>
    <w:rsid w:val="00144257"/>
    <w:rsid w:val="00152434"/>
    <w:rsid w:val="00152E44"/>
    <w:rsid w:val="001646C6"/>
    <w:rsid w:val="00166297"/>
    <w:rsid w:val="00170E5D"/>
    <w:rsid w:val="00172AA3"/>
    <w:rsid w:val="001745E4"/>
    <w:rsid w:val="00174F99"/>
    <w:rsid w:val="001759EC"/>
    <w:rsid w:val="0017662D"/>
    <w:rsid w:val="00183A08"/>
    <w:rsid w:val="00185464"/>
    <w:rsid w:val="00186E61"/>
    <w:rsid w:val="00194BE4"/>
    <w:rsid w:val="00194ECC"/>
    <w:rsid w:val="00196CFF"/>
    <w:rsid w:val="001971A4"/>
    <w:rsid w:val="001973E8"/>
    <w:rsid w:val="001A5701"/>
    <w:rsid w:val="001A69ED"/>
    <w:rsid w:val="001B0850"/>
    <w:rsid w:val="001B2243"/>
    <w:rsid w:val="001B34B4"/>
    <w:rsid w:val="001B4A22"/>
    <w:rsid w:val="001B59F0"/>
    <w:rsid w:val="001C0B3E"/>
    <w:rsid w:val="001C0B48"/>
    <w:rsid w:val="001C0FAB"/>
    <w:rsid w:val="001C24B5"/>
    <w:rsid w:val="001C7AFC"/>
    <w:rsid w:val="001D7120"/>
    <w:rsid w:val="001E0B25"/>
    <w:rsid w:val="001E757D"/>
    <w:rsid w:val="001F2647"/>
    <w:rsid w:val="001F3A10"/>
    <w:rsid w:val="001F55C7"/>
    <w:rsid w:val="00212620"/>
    <w:rsid w:val="002155B0"/>
    <w:rsid w:val="00223268"/>
    <w:rsid w:val="00226319"/>
    <w:rsid w:val="00231E33"/>
    <w:rsid w:val="002362ED"/>
    <w:rsid w:val="0024321C"/>
    <w:rsid w:val="00244878"/>
    <w:rsid w:val="00251DBD"/>
    <w:rsid w:val="0025365D"/>
    <w:rsid w:val="002559B0"/>
    <w:rsid w:val="002563AB"/>
    <w:rsid w:val="00260449"/>
    <w:rsid w:val="00260489"/>
    <w:rsid w:val="00261264"/>
    <w:rsid w:val="002616F5"/>
    <w:rsid w:val="00262DE8"/>
    <w:rsid w:val="00263AD6"/>
    <w:rsid w:val="0026526F"/>
    <w:rsid w:val="00265F33"/>
    <w:rsid w:val="002708BC"/>
    <w:rsid w:val="00283991"/>
    <w:rsid w:val="0028494B"/>
    <w:rsid w:val="00284D5B"/>
    <w:rsid w:val="0029388C"/>
    <w:rsid w:val="002979D0"/>
    <w:rsid w:val="002A2D3C"/>
    <w:rsid w:val="002A4625"/>
    <w:rsid w:val="002A5BCA"/>
    <w:rsid w:val="002B2645"/>
    <w:rsid w:val="002B2B8A"/>
    <w:rsid w:val="002B3404"/>
    <w:rsid w:val="002B37EA"/>
    <w:rsid w:val="002B4858"/>
    <w:rsid w:val="002C3BF8"/>
    <w:rsid w:val="002C6DF5"/>
    <w:rsid w:val="002D4E95"/>
    <w:rsid w:val="002E341C"/>
    <w:rsid w:val="002F6E4E"/>
    <w:rsid w:val="002F70B8"/>
    <w:rsid w:val="00300A96"/>
    <w:rsid w:val="00304037"/>
    <w:rsid w:val="00306203"/>
    <w:rsid w:val="003067E9"/>
    <w:rsid w:val="00322DD8"/>
    <w:rsid w:val="00324363"/>
    <w:rsid w:val="0032496E"/>
    <w:rsid w:val="00331247"/>
    <w:rsid w:val="00332B21"/>
    <w:rsid w:val="003347DE"/>
    <w:rsid w:val="00337302"/>
    <w:rsid w:val="00344A2C"/>
    <w:rsid w:val="00346773"/>
    <w:rsid w:val="0035211F"/>
    <w:rsid w:val="0035500C"/>
    <w:rsid w:val="00355C87"/>
    <w:rsid w:val="00355ED6"/>
    <w:rsid w:val="003607DD"/>
    <w:rsid w:val="00361067"/>
    <w:rsid w:val="003646F2"/>
    <w:rsid w:val="00366E9D"/>
    <w:rsid w:val="00376D28"/>
    <w:rsid w:val="003820BF"/>
    <w:rsid w:val="003825B3"/>
    <w:rsid w:val="00385CDB"/>
    <w:rsid w:val="003B36F3"/>
    <w:rsid w:val="003B4820"/>
    <w:rsid w:val="003C01C5"/>
    <w:rsid w:val="003C2827"/>
    <w:rsid w:val="003C6414"/>
    <w:rsid w:val="003C7674"/>
    <w:rsid w:val="003D3F68"/>
    <w:rsid w:val="003D5523"/>
    <w:rsid w:val="003E0BB9"/>
    <w:rsid w:val="003E424D"/>
    <w:rsid w:val="003E748C"/>
    <w:rsid w:val="003F031F"/>
    <w:rsid w:val="003F5F8D"/>
    <w:rsid w:val="003F691C"/>
    <w:rsid w:val="0041520E"/>
    <w:rsid w:val="00415F5F"/>
    <w:rsid w:val="00420DE0"/>
    <w:rsid w:val="0043097F"/>
    <w:rsid w:val="004314AE"/>
    <w:rsid w:val="00432689"/>
    <w:rsid w:val="00434264"/>
    <w:rsid w:val="00442FD5"/>
    <w:rsid w:val="0045181A"/>
    <w:rsid w:val="00454D7D"/>
    <w:rsid w:val="00462E91"/>
    <w:rsid w:val="0046353E"/>
    <w:rsid w:val="00464E40"/>
    <w:rsid w:val="004668CD"/>
    <w:rsid w:val="0048003D"/>
    <w:rsid w:val="00491E0F"/>
    <w:rsid w:val="004945CC"/>
    <w:rsid w:val="00495A81"/>
    <w:rsid w:val="004A1A82"/>
    <w:rsid w:val="004B2589"/>
    <w:rsid w:val="004B6B63"/>
    <w:rsid w:val="004B6D46"/>
    <w:rsid w:val="004C0516"/>
    <w:rsid w:val="004C0B22"/>
    <w:rsid w:val="004C1641"/>
    <w:rsid w:val="004C6A15"/>
    <w:rsid w:val="004E233B"/>
    <w:rsid w:val="004E3839"/>
    <w:rsid w:val="004E522F"/>
    <w:rsid w:val="004F0DD1"/>
    <w:rsid w:val="004F0E27"/>
    <w:rsid w:val="004F41E8"/>
    <w:rsid w:val="004F5565"/>
    <w:rsid w:val="00502DD1"/>
    <w:rsid w:val="00507C46"/>
    <w:rsid w:val="00512732"/>
    <w:rsid w:val="0051396D"/>
    <w:rsid w:val="005140FF"/>
    <w:rsid w:val="00516203"/>
    <w:rsid w:val="005212E3"/>
    <w:rsid w:val="005227FD"/>
    <w:rsid w:val="00524C88"/>
    <w:rsid w:val="00525D4C"/>
    <w:rsid w:val="00530C66"/>
    <w:rsid w:val="005414F9"/>
    <w:rsid w:val="00542A12"/>
    <w:rsid w:val="005527EC"/>
    <w:rsid w:val="005660B5"/>
    <w:rsid w:val="00571454"/>
    <w:rsid w:val="00572405"/>
    <w:rsid w:val="0057774D"/>
    <w:rsid w:val="00580B9A"/>
    <w:rsid w:val="00591DE3"/>
    <w:rsid w:val="00592215"/>
    <w:rsid w:val="005A26C9"/>
    <w:rsid w:val="005B058C"/>
    <w:rsid w:val="005B3469"/>
    <w:rsid w:val="005B4E82"/>
    <w:rsid w:val="005C3380"/>
    <w:rsid w:val="005C5E62"/>
    <w:rsid w:val="005C6206"/>
    <w:rsid w:val="005C6800"/>
    <w:rsid w:val="005D4D40"/>
    <w:rsid w:val="005D7DCB"/>
    <w:rsid w:val="005E3AE5"/>
    <w:rsid w:val="005E693A"/>
    <w:rsid w:val="005E7EEE"/>
    <w:rsid w:val="005F634D"/>
    <w:rsid w:val="00604353"/>
    <w:rsid w:val="00614A86"/>
    <w:rsid w:val="00616EA8"/>
    <w:rsid w:val="006244E9"/>
    <w:rsid w:val="006254AC"/>
    <w:rsid w:val="00625B34"/>
    <w:rsid w:val="00643758"/>
    <w:rsid w:val="00645772"/>
    <w:rsid w:val="00646793"/>
    <w:rsid w:val="006472AC"/>
    <w:rsid w:val="00651AED"/>
    <w:rsid w:val="0065515A"/>
    <w:rsid w:val="00671385"/>
    <w:rsid w:val="00671B5B"/>
    <w:rsid w:val="00672CF3"/>
    <w:rsid w:val="00673189"/>
    <w:rsid w:val="0067511D"/>
    <w:rsid w:val="006768EA"/>
    <w:rsid w:val="006806FD"/>
    <w:rsid w:val="006846AD"/>
    <w:rsid w:val="00684B5B"/>
    <w:rsid w:val="00690DF6"/>
    <w:rsid w:val="0069228F"/>
    <w:rsid w:val="00692751"/>
    <w:rsid w:val="006933B0"/>
    <w:rsid w:val="00694031"/>
    <w:rsid w:val="006B02CD"/>
    <w:rsid w:val="006B2D10"/>
    <w:rsid w:val="006B5A3C"/>
    <w:rsid w:val="006C638F"/>
    <w:rsid w:val="006C71B0"/>
    <w:rsid w:val="006D3463"/>
    <w:rsid w:val="006D670E"/>
    <w:rsid w:val="006E4FF0"/>
    <w:rsid w:val="006F1368"/>
    <w:rsid w:val="006F6C07"/>
    <w:rsid w:val="006F75D5"/>
    <w:rsid w:val="007012FF"/>
    <w:rsid w:val="0070230A"/>
    <w:rsid w:val="007064D3"/>
    <w:rsid w:val="007138CD"/>
    <w:rsid w:val="00713CD7"/>
    <w:rsid w:val="00713D0C"/>
    <w:rsid w:val="00715CB1"/>
    <w:rsid w:val="007209FA"/>
    <w:rsid w:val="00724AEF"/>
    <w:rsid w:val="00730683"/>
    <w:rsid w:val="00731AAA"/>
    <w:rsid w:val="00737219"/>
    <w:rsid w:val="00741F22"/>
    <w:rsid w:val="00742EE2"/>
    <w:rsid w:val="00746816"/>
    <w:rsid w:val="00746906"/>
    <w:rsid w:val="0075011F"/>
    <w:rsid w:val="00750B6F"/>
    <w:rsid w:val="00751A3C"/>
    <w:rsid w:val="00756524"/>
    <w:rsid w:val="00772B77"/>
    <w:rsid w:val="00772E23"/>
    <w:rsid w:val="0078186E"/>
    <w:rsid w:val="0078305B"/>
    <w:rsid w:val="007855F2"/>
    <w:rsid w:val="007867C8"/>
    <w:rsid w:val="00792810"/>
    <w:rsid w:val="00792E00"/>
    <w:rsid w:val="007945B3"/>
    <w:rsid w:val="00794A7C"/>
    <w:rsid w:val="007A185F"/>
    <w:rsid w:val="007A2B22"/>
    <w:rsid w:val="007A425B"/>
    <w:rsid w:val="007A4271"/>
    <w:rsid w:val="007A618C"/>
    <w:rsid w:val="007B01BE"/>
    <w:rsid w:val="007B1C61"/>
    <w:rsid w:val="007B49F9"/>
    <w:rsid w:val="007B567C"/>
    <w:rsid w:val="007C0B00"/>
    <w:rsid w:val="007C1139"/>
    <w:rsid w:val="007C1E54"/>
    <w:rsid w:val="007C5910"/>
    <w:rsid w:val="007C5DA4"/>
    <w:rsid w:val="007C7518"/>
    <w:rsid w:val="007D2F99"/>
    <w:rsid w:val="007D4BA2"/>
    <w:rsid w:val="007E4920"/>
    <w:rsid w:val="007E50E6"/>
    <w:rsid w:val="007E515F"/>
    <w:rsid w:val="007E6795"/>
    <w:rsid w:val="007F0FF5"/>
    <w:rsid w:val="007F1864"/>
    <w:rsid w:val="007F333C"/>
    <w:rsid w:val="007F69DC"/>
    <w:rsid w:val="007F73BF"/>
    <w:rsid w:val="00802104"/>
    <w:rsid w:val="0080489E"/>
    <w:rsid w:val="00820807"/>
    <w:rsid w:val="00820DFE"/>
    <w:rsid w:val="00822CC4"/>
    <w:rsid w:val="0082457D"/>
    <w:rsid w:val="00825C38"/>
    <w:rsid w:val="00827740"/>
    <w:rsid w:val="008335F7"/>
    <w:rsid w:val="00844D7A"/>
    <w:rsid w:val="008468C1"/>
    <w:rsid w:val="00850CF4"/>
    <w:rsid w:val="00850D0F"/>
    <w:rsid w:val="00857F9D"/>
    <w:rsid w:val="0086247F"/>
    <w:rsid w:val="008630E6"/>
    <w:rsid w:val="00874D31"/>
    <w:rsid w:val="00880FA6"/>
    <w:rsid w:val="0088103F"/>
    <w:rsid w:val="00881E43"/>
    <w:rsid w:val="00882344"/>
    <w:rsid w:val="00892BC9"/>
    <w:rsid w:val="008A7C33"/>
    <w:rsid w:val="008B19DB"/>
    <w:rsid w:val="008B5AE7"/>
    <w:rsid w:val="008C139D"/>
    <w:rsid w:val="008C1CFC"/>
    <w:rsid w:val="008C686A"/>
    <w:rsid w:val="008C6C34"/>
    <w:rsid w:val="008D2B03"/>
    <w:rsid w:val="008D4936"/>
    <w:rsid w:val="008D5623"/>
    <w:rsid w:val="008D6A6A"/>
    <w:rsid w:val="008E18D1"/>
    <w:rsid w:val="008E33E8"/>
    <w:rsid w:val="008F561C"/>
    <w:rsid w:val="008F616E"/>
    <w:rsid w:val="008F6D9F"/>
    <w:rsid w:val="009019AC"/>
    <w:rsid w:val="009029E5"/>
    <w:rsid w:val="009036E9"/>
    <w:rsid w:val="00904C7F"/>
    <w:rsid w:val="00906545"/>
    <w:rsid w:val="00914B6D"/>
    <w:rsid w:val="00917439"/>
    <w:rsid w:val="00927098"/>
    <w:rsid w:val="00933897"/>
    <w:rsid w:val="00937260"/>
    <w:rsid w:val="00947CD1"/>
    <w:rsid w:val="00960706"/>
    <w:rsid w:val="009625D5"/>
    <w:rsid w:val="00981F15"/>
    <w:rsid w:val="00982A41"/>
    <w:rsid w:val="009862DF"/>
    <w:rsid w:val="00991111"/>
    <w:rsid w:val="00991901"/>
    <w:rsid w:val="009B1D60"/>
    <w:rsid w:val="009B4FD2"/>
    <w:rsid w:val="009B57F0"/>
    <w:rsid w:val="009B7DFA"/>
    <w:rsid w:val="009C6949"/>
    <w:rsid w:val="009D229C"/>
    <w:rsid w:val="009D6DC3"/>
    <w:rsid w:val="009D715C"/>
    <w:rsid w:val="009E02DC"/>
    <w:rsid w:val="009E0397"/>
    <w:rsid w:val="009E2AEB"/>
    <w:rsid w:val="009E2B9C"/>
    <w:rsid w:val="009E7B6C"/>
    <w:rsid w:val="009F2EB6"/>
    <w:rsid w:val="009F7C95"/>
    <w:rsid w:val="00A06A63"/>
    <w:rsid w:val="00A11669"/>
    <w:rsid w:val="00A14CBC"/>
    <w:rsid w:val="00A155B9"/>
    <w:rsid w:val="00A324FE"/>
    <w:rsid w:val="00A34567"/>
    <w:rsid w:val="00A36DB9"/>
    <w:rsid w:val="00A37CD0"/>
    <w:rsid w:val="00A419C9"/>
    <w:rsid w:val="00A449AA"/>
    <w:rsid w:val="00A46201"/>
    <w:rsid w:val="00A47FF8"/>
    <w:rsid w:val="00A50217"/>
    <w:rsid w:val="00A55083"/>
    <w:rsid w:val="00A56FD2"/>
    <w:rsid w:val="00A60EBE"/>
    <w:rsid w:val="00A639C6"/>
    <w:rsid w:val="00A673C0"/>
    <w:rsid w:val="00A70BBE"/>
    <w:rsid w:val="00A71616"/>
    <w:rsid w:val="00A72444"/>
    <w:rsid w:val="00A8369F"/>
    <w:rsid w:val="00A92BE0"/>
    <w:rsid w:val="00A96CD7"/>
    <w:rsid w:val="00AA7562"/>
    <w:rsid w:val="00AB3F6E"/>
    <w:rsid w:val="00AB5BBF"/>
    <w:rsid w:val="00AB6AF1"/>
    <w:rsid w:val="00AC026B"/>
    <w:rsid w:val="00AC1A2E"/>
    <w:rsid w:val="00AD26E6"/>
    <w:rsid w:val="00AD48E5"/>
    <w:rsid w:val="00AD792F"/>
    <w:rsid w:val="00AD7D76"/>
    <w:rsid w:val="00AE1D16"/>
    <w:rsid w:val="00AE41BE"/>
    <w:rsid w:val="00AE4810"/>
    <w:rsid w:val="00AE5A85"/>
    <w:rsid w:val="00AE7072"/>
    <w:rsid w:val="00AF202B"/>
    <w:rsid w:val="00AF7C3E"/>
    <w:rsid w:val="00B013C4"/>
    <w:rsid w:val="00B057E6"/>
    <w:rsid w:val="00B11B7F"/>
    <w:rsid w:val="00B11D55"/>
    <w:rsid w:val="00B14897"/>
    <w:rsid w:val="00B16767"/>
    <w:rsid w:val="00B16D76"/>
    <w:rsid w:val="00B170A8"/>
    <w:rsid w:val="00B17645"/>
    <w:rsid w:val="00B20653"/>
    <w:rsid w:val="00B22A43"/>
    <w:rsid w:val="00B23F75"/>
    <w:rsid w:val="00B2621D"/>
    <w:rsid w:val="00B2634E"/>
    <w:rsid w:val="00B2758E"/>
    <w:rsid w:val="00B3126B"/>
    <w:rsid w:val="00B32D55"/>
    <w:rsid w:val="00B34AD2"/>
    <w:rsid w:val="00B426DE"/>
    <w:rsid w:val="00B42FF3"/>
    <w:rsid w:val="00B44F48"/>
    <w:rsid w:val="00B46F1B"/>
    <w:rsid w:val="00B52087"/>
    <w:rsid w:val="00B55BA2"/>
    <w:rsid w:val="00B573B9"/>
    <w:rsid w:val="00B64CF6"/>
    <w:rsid w:val="00B64D9A"/>
    <w:rsid w:val="00B66085"/>
    <w:rsid w:val="00B71516"/>
    <w:rsid w:val="00B7255D"/>
    <w:rsid w:val="00B7562E"/>
    <w:rsid w:val="00B842DA"/>
    <w:rsid w:val="00BA1456"/>
    <w:rsid w:val="00BA68FD"/>
    <w:rsid w:val="00BA7BB0"/>
    <w:rsid w:val="00BB0E45"/>
    <w:rsid w:val="00BB15A1"/>
    <w:rsid w:val="00BB64BE"/>
    <w:rsid w:val="00BC3C73"/>
    <w:rsid w:val="00BD0243"/>
    <w:rsid w:val="00BD7710"/>
    <w:rsid w:val="00BE17CA"/>
    <w:rsid w:val="00BE3831"/>
    <w:rsid w:val="00BF7F90"/>
    <w:rsid w:val="00C04784"/>
    <w:rsid w:val="00C0580F"/>
    <w:rsid w:val="00C10C38"/>
    <w:rsid w:val="00C1140D"/>
    <w:rsid w:val="00C153A1"/>
    <w:rsid w:val="00C17C5D"/>
    <w:rsid w:val="00C2460F"/>
    <w:rsid w:val="00C258F1"/>
    <w:rsid w:val="00C30E52"/>
    <w:rsid w:val="00C374F1"/>
    <w:rsid w:val="00C40800"/>
    <w:rsid w:val="00C41341"/>
    <w:rsid w:val="00C431FC"/>
    <w:rsid w:val="00C4788E"/>
    <w:rsid w:val="00C47C94"/>
    <w:rsid w:val="00C50093"/>
    <w:rsid w:val="00C529B3"/>
    <w:rsid w:val="00C55E8D"/>
    <w:rsid w:val="00C568D9"/>
    <w:rsid w:val="00C6249C"/>
    <w:rsid w:val="00C75299"/>
    <w:rsid w:val="00C76187"/>
    <w:rsid w:val="00C82555"/>
    <w:rsid w:val="00C95C5D"/>
    <w:rsid w:val="00CA01D0"/>
    <w:rsid w:val="00CA1FD7"/>
    <w:rsid w:val="00CA4FF2"/>
    <w:rsid w:val="00CA5D69"/>
    <w:rsid w:val="00CB4321"/>
    <w:rsid w:val="00CB7A32"/>
    <w:rsid w:val="00CB7A79"/>
    <w:rsid w:val="00CC03F3"/>
    <w:rsid w:val="00CD5665"/>
    <w:rsid w:val="00CD790A"/>
    <w:rsid w:val="00CE0D8E"/>
    <w:rsid w:val="00CE5082"/>
    <w:rsid w:val="00CE7B69"/>
    <w:rsid w:val="00CF22F9"/>
    <w:rsid w:val="00CF4D1E"/>
    <w:rsid w:val="00CF6780"/>
    <w:rsid w:val="00CF6C93"/>
    <w:rsid w:val="00D02164"/>
    <w:rsid w:val="00D079EB"/>
    <w:rsid w:val="00D17C90"/>
    <w:rsid w:val="00D20917"/>
    <w:rsid w:val="00D23EDE"/>
    <w:rsid w:val="00D24B48"/>
    <w:rsid w:val="00D32D70"/>
    <w:rsid w:val="00D40618"/>
    <w:rsid w:val="00D438AC"/>
    <w:rsid w:val="00D43C87"/>
    <w:rsid w:val="00D444E5"/>
    <w:rsid w:val="00D460FA"/>
    <w:rsid w:val="00D46F76"/>
    <w:rsid w:val="00D51015"/>
    <w:rsid w:val="00D526FB"/>
    <w:rsid w:val="00D549A8"/>
    <w:rsid w:val="00D627A5"/>
    <w:rsid w:val="00D630A6"/>
    <w:rsid w:val="00D667CC"/>
    <w:rsid w:val="00D67CAA"/>
    <w:rsid w:val="00D70FC6"/>
    <w:rsid w:val="00D71B2B"/>
    <w:rsid w:val="00D734A3"/>
    <w:rsid w:val="00D753FF"/>
    <w:rsid w:val="00D761CA"/>
    <w:rsid w:val="00D76A25"/>
    <w:rsid w:val="00D77CBB"/>
    <w:rsid w:val="00D85A43"/>
    <w:rsid w:val="00D86FC4"/>
    <w:rsid w:val="00D95AB0"/>
    <w:rsid w:val="00DA292D"/>
    <w:rsid w:val="00DB0E4D"/>
    <w:rsid w:val="00DB3D7F"/>
    <w:rsid w:val="00DB70BF"/>
    <w:rsid w:val="00DC2C41"/>
    <w:rsid w:val="00DC3684"/>
    <w:rsid w:val="00DC7E93"/>
    <w:rsid w:val="00DD531D"/>
    <w:rsid w:val="00DD6FC7"/>
    <w:rsid w:val="00DE09A0"/>
    <w:rsid w:val="00DE2913"/>
    <w:rsid w:val="00DE56A6"/>
    <w:rsid w:val="00DE6E78"/>
    <w:rsid w:val="00DF2E66"/>
    <w:rsid w:val="00E01BE0"/>
    <w:rsid w:val="00E01CD7"/>
    <w:rsid w:val="00E04D8F"/>
    <w:rsid w:val="00E06C2F"/>
    <w:rsid w:val="00E07369"/>
    <w:rsid w:val="00E0750A"/>
    <w:rsid w:val="00E11C2E"/>
    <w:rsid w:val="00E16227"/>
    <w:rsid w:val="00E172DC"/>
    <w:rsid w:val="00E33500"/>
    <w:rsid w:val="00E342E6"/>
    <w:rsid w:val="00E419A4"/>
    <w:rsid w:val="00E4764F"/>
    <w:rsid w:val="00E51FD0"/>
    <w:rsid w:val="00E550E6"/>
    <w:rsid w:val="00E56EB8"/>
    <w:rsid w:val="00E75289"/>
    <w:rsid w:val="00E75732"/>
    <w:rsid w:val="00E8098F"/>
    <w:rsid w:val="00E856F3"/>
    <w:rsid w:val="00E905C2"/>
    <w:rsid w:val="00E9402F"/>
    <w:rsid w:val="00E96089"/>
    <w:rsid w:val="00E9687C"/>
    <w:rsid w:val="00E969BF"/>
    <w:rsid w:val="00E97A3C"/>
    <w:rsid w:val="00EA12EF"/>
    <w:rsid w:val="00EA36A9"/>
    <w:rsid w:val="00EA3CAE"/>
    <w:rsid w:val="00EA3D33"/>
    <w:rsid w:val="00EA471C"/>
    <w:rsid w:val="00EA6126"/>
    <w:rsid w:val="00EA77AD"/>
    <w:rsid w:val="00EB6A1D"/>
    <w:rsid w:val="00EC1855"/>
    <w:rsid w:val="00EC691F"/>
    <w:rsid w:val="00ED3F2E"/>
    <w:rsid w:val="00ED5BB3"/>
    <w:rsid w:val="00EE26C9"/>
    <w:rsid w:val="00EE6129"/>
    <w:rsid w:val="00EF4186"/>
    <w:rsid w:val="00EF47CE"/>
    <w:rsid w:val="00EF7DA8"/>
    <w:rsid w:val="00F0270B"/>
    <w:rsid w:val="00F047C7"/>
    <w:rsid w:val="00F06271"/>
    <w:rsid w:val="00F0755F"/>
    <w:rsid w:val="00F13AB6"/>
    <w:rsid w:val="00F14AD9"/>
    <w:rsid w:val="00F238CE"/>
    <w:rsid w:val="00F32EE4"/>
    <w:rsid w:val="00F41DBE"/>
    <w:rsid w:val="00F52FAD"/>
    <w:rsid w:val="00F5315C"/>
    <w:rsid w:val="00F54307"/>
    <w:rsid w:val="00F7357D"/>
    <w:rsid w:val="00F75B52"/>
    <w:rsid w:val="00F77493"/>
    <w:rsid w:val="00F80EE2"/>
    <w:rsid w:val="00F84F1C"/>
    <w:rsid w:val="00F876B5"/>
    <w:rsid w:val="00F90222"/>
    <w:rsid w:val="00F97541"/>
    <w:rsid w:val="00FA382E"/>
    <w:rsid w:val="00FB1427"/>
    <w:rsid w:val="00FC16E8"/>
    <w:rsid w:val="00FC5C13"/>
    <w:rsid w:val="00FD44CB"/>
    <w:rsid w:val="00FE026A"/>
    <w:rsid w:val="00FE4082"/>
    <w:rsid w:val="00FE7F7F"/>
    <w:rsid w:val="00FF0962"/>
    <w:rsid w:val="00F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F0663"/>
  <w15:docId w15:val="{8D9FD268-B0BF-49D3-B752-FED7D1C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0DF6"/>
    <w:pPr>
      <w:widowControl w:val="0"/>
      <w:spacing w:before="30"/>
    </w:pPr>
    <w:rPr>
      <w:rFonts w:ascii="Calibri" w:eastAsia="Calibri" w:hAnsi="Calibri" w:cs="Calibri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99"/>
    <w:qFormat/>
    <w:rsid w:val="001A0B7F"/>
    <w:rPr>
      <w:b/>
      <w:bCs/>
    </w:rPr>
  </w:style>
  <w:style w:type="character" w:styleId="Hypertextovodkaz">
    <w:name w:val="Hyperlink"/>
    <w:rsid w:val="00960706"/>
    <w:rPr>
      <w:color w:val="00A7EA"/>
      <w:u w:val="single"/>
    </w:rPr>
  </w:style>
  <w:style w:type="paragraph" w:styleId="Textbubliny">
    <w:name w:val="Balloon Text"/>
    <w:basedOn w:val="Normln"/>
    <w:semiHidden/>
    <w:rsid w:val="007A0F9A"/>
    <w:rPr>
      <w:rFonts w:ascii="Tahoma" w:hAnsi="Tahoma" w:cs="Tahoma"/>
      <w:sz w:val="16"/>
      <w:szCs w:val="16"/>
    </w:rPr>
  </w:style>
  <w:style w:type="paragraph" w:customStyle="1" w:styleId="MainHeadline">
    <w:name w:val="Main Headline"/>
    <w:basedOn w:val="Normln"/>
    <w:next w:val="Sub-Headline"/>
    <w:rsid w:val="002949F4"/>
    <w:pPr>
      <w:spacing w:before="0"/>
    </w:pPr>
    <w:rPr>
      <w:rFonts w:ascii="Arial" w:eastAsia="Arial" w:hAnsi="Arial" w:cs="Arial"/>
      <w:b/>
      <w:bCs/>
      <w:iCs/>
      <w:sz w:val="28"/>
      <w:szCs w:val="28"/>
    </w:rPr>
  </w:style>
  <w:style w:type="paragraph" w:customStyle="1" w:styleId="Sub-Headline">
    <w:name w:val="Sub-Headline"/>
    <w:basedOn w:val="Normln"/>
    <w:next w:val="Normln"/>
    <w:uiPriority w:val="99"/>
    <w:rsid w:val="00ED794A"/>
    <w:pPr>
      <w:shd w:val="clear" w:color="auto" w:fill="FFFFFF"/>
      <w:spacing w:before="100" w:after="100"/>
    </w:pPr>
    <w:rPr>
      <w:rFonts w:ascii="Arial" w:eastAsia="Arial" w:hAnsi="Arial" w:cs="PMingLiU"/>
      <w:i/>
      <w:iCs/>
      <w:color w:val="000000"/>
      <w:szCs w:val="20"/>
    </w:rPr>
  </w:style>
  <w:style w:type="paragraph" w:customStyle="1" w:styleId="pCompanyProfilo">
    <w:name w:val="p_CompanyProfilo"/>
    <w:basedOn w:val="Normln"/>
    <w:rsid w:val="001A7458"/>
    <w:pPr>
      <w:jc w:val="both"/>
    </w:pPr>
    <w:rPr>
      <w:rFonts w:cs="PMingLiU"/>
    </w:rPr>
  </w:style>
  <w:style w:type="paragraph" w:customStyle="1" w:styleId="Endnote">
    <w:name w:val="End note"/>
    <w:basedOn w:val="Normln"/>
    <w:rsid w:val="001A7458"/>
    <w:pPr>
      <w:jc w:val="center"/>
    </w:pPr>
    <w:rPr>
      <w:rFonts w:cs="PMingLiU"/>
      <w:szCs w:val="20"/>
    </w:rPr>
  </w:style>
  <w:style w:type="paragraph" w:customStyle="1" w:styleId="ContactInformation">
    <w:name w:val="ContactInformation"/>
    <w:basedOn w:val="Normln"/>
    <w:rsid w:val="00B364E3"/>
    <w:pPr>
      <w:spacing w:before="0"/>
    </w:pPr>
    <w:rPr>
      <w:rFonts w:cs="PMingLiU"/>
    </w:rPr>
  </w:style>
  <w:style w:type="character" w:customStyle="1" w:styleId="xn-location">
    <w:name w:val="xn-location"/>
    <w:basedOn w:val="Standardnpsmoodstavce"/>
    <w:rsid w:val="005B595A"/>
  </w:style>
  <w:style w:type="character" w:customStyle="1" w:styleId="xn-chron">
    <w:name w:val="xn-chron"/>
    <w:basedOn w:val="Standardnpsmoodstavce"/>
    <w:rsid w:val="005B595A"/>
  </w:style>
  <w:style w:type="paragraph" w:styleId="Zhlav">
    <w:name w:val="header"/>
    <w:basedOn w:val="Normln"/>
    <w:rsid w:val="000723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0723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Mkatabulky">
    <w:name w:val="Table Grid"/>
    <w:basedOn w:val="Normlntabulka"/>
    <w:rsid w:val="00241C8E"/>
    <w:pPr>
      <w:widowControl w:val="0"/>
      <w:spacing w:before="3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83158A"/>
    <w:pPr>
      <w:widowControl/>
      <w:spacing w:before="100" w:beforeAutospacing="1" w:after="100" w:afterAutospacing="1"/>
    </w:pPr>
    <w:rPr>
      <w:rFonts w:ascii="PMingLiU" w:eastAsia="PMingLiU" w:hAnsi="PMingLiU" w:cs="PMingLiU"/>
    </w:rPr>
  </w:style>
  <w:style w:type="character" w:customStyle="1" w:styleId="adatat10pathnow1">
    <w:name w:val="adata_t10_path_now1"/>
    <w:rsid w:val="00581E0E"/>
    <w:rPr>
      <w:rFonts w:ascii="Arial" w:hAnsi="Arial" w:cs="Arial" w:hint="default"/>
      <w:color w:val="02328D"/>
      <w:spacing w:val="0"/>
      <w:sz w:val="15"/>
      <w:szCs w:val="15"/>
    </w:rPr>
  </w:style>
  <w:style w:type="character" w:customStyle="1" w:styleId="apple-converted-space">
    <w:name w:val="apple-converted-space"/>
    <w:basedOn w:val="Standardnpsmoodstavce"/>
    <w:rsid w:val="00CE04EB"/>
  </w:style>
  <w:style w:type="character" w:styleId="Sledovanodkaz">
    <w:name w:val="FollowedHyperlink"/>
    <w:rsid w:val="007E1A5C"/>
    <w:rPr>
      <w:color w:val="800080"/>
      <w:u w:val="single"/>
    </w:rPr>
  </w:style>
  <w:style w:type="character" w:customStyle="1" w:styleId="apple-style-span">
    <w:name w:val="apple-style-span"/>
    <w:basedOn w:val="Standardnpsmoodstavce"/>
    <w:rsid w:val="005C2E97"/>
  </w:style>
  <w:style w:type="paragraph" w:styleId="Odstavecseseznamem">
    <w:name w:val="List Paragraph"/>
    <w:basedOn w:val="Normln"/>
    <w:uiPriority w:val="34"/>
    <w:qFormat/>
    <w:rsid w:val="00B42B27"/>
    <w:pPr>
      <w:widowControl/>
      <w:spacing w:before="0"/>
      <w:ind w:leftChars="200" w:left="480"/>
    </w:pPr>
    <w:rPr>
      <w:rFonts w:ascii="PMingLiU" w:eastAsia="PMingLiU" w:hAnsi="PMingLiU" w:cs="PMingLiU"/>
    </w:rPr>
  </w:style>
  <w:style w:type="character" w:styleId="Odkaznakoment">
    <w:name w:val="annotation reference"/>
    <w:rsid w:val="00973DED"/>
    <w:rPr>
      <w:sz w:val="18"/>
      <w:szCs w:val="18"/>
    </w:rPr>
  </w:style>
  <w:style w:type="paragraph" w:styleId="Textkomente">
    <w:name w:val="annotation text"/>
    <w:basedOn w:val="Normln"/>
    <w:link w:val="TextkomenteChar"/>
    <w:rsid w:val="00973DED"/>
  </w:style>
  <w:style w:type="character" w:customStyle="1" w:styleId="TextkomenteChar">
    <w:name w:val="Text komentáře Char"/>
    <w:link w:val="Textkomente"/>
    <w:rsid w:val="00973DED"/>
    <w:rPr>
      <w:rFonts w:ascii="Calibri" w:eastAsia="Calibri" w:hAnsi="Calibri" w:cs="Calibri"/>
      <w:kern w:val="2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973DED"/>
    <w:rPr>
      <w:b/>
      <w:bCs/>
    </w:rPr>
  </w:style>
  <w:style w:type="character" w:customStyle="1" w:styleId="PedmtkomenteChar">
    <w:name w:val="Předmět komentáře Char"/>
    <w:link w:val="Pedmtkomente"/>
    <w:rsid w:val="00973DED"/>
    <w:rPr>
      <w:rFonts w:ascii="Calibri" w:eastAsia="Calibri" w:hAnsi="Calibri" w:cs="Calibri"/>
      <w:b/>
      <w:bCs/>
      <w:kern w:val="2"/>
      <w:sz w:val="24"/>
      <w:szCs w:val="24"/>
    </w:rPr>
  </w:style>
  <w:style w:type="character" w:customStyle="1" w:styleId="st1">
    <w:name w:val="st1"/>
    <w:rsid w:val="001E757D"/>
  </w:style>
  <w:style w:type="character" w:styleId="Nevyeenzmnka">
    <w:name w:val="Unresolved Mention"/>
    <w:basedOn w:val="Standardnpsmoodstavce"/>
    <w:uiPriority w:val="99"/>
    <w:semiHidden/>
    <w:unhideWhenUsed/>
    <w:rsid w:val="008F6D9F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8F6D9F"/>
    <w:rPr>
      <w:rFonts w:ascii="Calibri" w:eastAsia="Calibri" w:hAnsi="Calibri" w:cs="Calibri"/>
      <w:kern w:val="2"/>
    </w:rPr>
  </w:style>
  <w:style w:type="paragraph" w:styleId="Revize">
    <w:name w:val="Revision"/>
    <w:hidden/>
    <w:uiPriority w:val="99"/>
    <w:semiHidden/>
    <w:rsid w:val="00A46201"/>
    <w:rPr>
      <w:rFonts w:ascii="Calibri" w:eastAsia="Calibri" w:hAnsi="Calibri" w:cs="Calibr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.adata.com/computex2026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ata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tin.libersky@grune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lav.kotyk@grunex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D1E8F-79AB-444F-A3D2-CEFBBEEA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1933</Words>
  <Characters>11410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ADATA Press Release</vt:lpstr>
      <vt:lpstr>ADATA Unveils XPG Gaming Series V2</vt:lpstr>
    </vt:vector>
  </TitlesOfParts>
  <Company>ADATA</Company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ADATA Press Release</dc:title>
  <dc:creator>Grunex</dc:creator>
  <cp:keywords>ADATA</cp:keywords>
  <cp:lastModifiedBy>Václav Kotyk</cp:lastModifiedBy>
  <cp:revision>14</cp:revision>
  <cp:lastPrinted>2014-06-12T05:52:00Z</cp:lastPrinted>
  <dcterms:created xsi:type="dcterms:W3CDTF">2026-05-06T08:28:00Z</dcterms:created>
  <dcterms:modified xsi:type="dcterms:W3CDTF">2026-05-26T16:27:00Z</dcterms:modified>
</cp:coreProperties>
</file>